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6AB7F" w14:textId="77777777" w:rsidR="004D0654" w:rsidRDefault="00CC2692">
      <w:pPr>
        <w:spacing w:after="196"/>
        <w:ind w:right="0"/>
        <w:jc w:val="center"/>
      </w:pPr>
      <w:r>
        <w:rPr>
          <w:sz w:val="34"/>
        </w:rPr>
        <w:t>Forecasting recovery rates on non-performing loans with machine learning</w:t>
      </w:r>
    </w:p>
    <w:p w14:paraId="68ADE5D9" w14:textId="77777777" w:rsidR="004D0654" w:rsidRDefault="00CC2692">
      <w:pPr>
        <w:jc w:val="center"/>
      </w:pPr>
      <w:r>
        <w:t xml:space="preserve">Anthony </w:t>
      </w:r>
      <w:proofErr w:type="spellStart"/>
      <w:r>
        <w:t>Bellotti</w:t>
      </w:r>
      <w:r>
        <w:rPr>
          <w:vertAlign w:val="superscript"/>
        </w:rPr>
        <w:t>a</w:t>
      </w:r>
      <w:proofErr w:type="spellEnd"/>
      <w:r>
        <w:t xml:space="preserve">, Damiano </w:t>
      </w:r>
      <w:proofErr w:type="spellStart"/>
      <w:r>
        <w:t>Brigo</w:t>
      </w:r>
      <w:r>
        <w:rPr>
          <w:vertAlign w:val="superscript"/>
        </w:rPr>
        <w:t>a</w:t>
      </w:r>
      <w:proofErr w:type="spellEnd"/>
      <w:r>
        <w:t xml:space="preserve">, Paolo </w:t>
      </w:r>
      <w:proofErr w:type="spellStart"/>
      <w:r>
        <w:t>Gambetti</w:t>
      </w:r>
      <w:r>
        <w:rPr>
          <w:vertAlign w:val="superscript"/>
        </w:rPr>
        <w:t>b</w:t>
      </w:r>
      <w:proofErr w:type="spellEnd"/>
      <w:r>
        <w:t xml:space="preserve">, </w:t>
      </w:r>
      <w:proofErr w:type="spellStart"/>
      <w:r>
        <w:t>Fr´ed´eric</w:t>
      </w:r>
      <w:proofErr w:type="spellEnd"/>
      <w:r>
        <w:t xml:space="preserve"> </w:t>
      </w:r>
      <w:proofErr w:type="spellStart"/>
      <w:r>
        <w:t>Vrins</w:t>
      </w:r>
      <w:r>
        <w:rPr>
          <w:vertAlign w:val="superscript"/>
        </w:rPr>
        <w:t>b</w:t>
      </w:r>
      <w:proofErr w:type="spellEnd"/>
    </w:p>
    <w:p w14:paraId="7257B74E" w14:textId="77777777" w:rsidR="004D0654" w:rsidRDefault="00CC2692">
      <w:pPr>
        <w:spacing w:after="452" w:line="276" w:lineRule="auto"/>
        <w:ind w:left="830" w:right="830"/>
        <w:jc w:val="center"/>
      </w:pPr>
      <w:proofErr w:type="spellStart"/>
      <w:r>
        <w:rPr>
          <w:i/>
          <w:sz w:val="20"/>
          <w:vertAlign w:val="superscript"/>
        </w:rPr>
        <w:t>a</w:t>
      </w:r>
      <w:r>
        <w:rPr>
          <w:i/>
          <w:sz w:val="20"/>
        </w:rPr>
        <w:t>Department</w:t>
      </w:r>
      <w:proofErr w:type="spellEnd"/>
      <w:r>
        <w:rPr>
          <w:i/>
          <w:sz w:val="20"/>
        </w:rPr>
        <w:t xml:space="preserve"> of Mathematics, Imperial College London, London SW7 2AZ, UK </w:t>
      </w:r>
      <w:proofErr w:type="spellStart"/>
      <w:r>
        <w:rPr>
          <w:i/>
          <w:sz w:val="20"/>
          <w:vertAlign w:val="superscript"/>
        </w:rPr>
        <w:t>b</w:t>
      </w:r>
      <w:r>
        <w:rPr>
          <w:i/>
          <w:sz w:val="20"/>
        </w:rPr>
        <w:t>LFIN</w:t>
      </w:r>
      <w:proofErr w:type="spellEnd"/>
      <w:r>
        <w:rPr>
          <w:i/>
          <w:sz w:val="20"/>
        </w:rPr>
        <w:t xml:space="preserve">, </w:t>
      </w:r>
      <w:proofErr w:type="spellStart"/>
      <w:r>
        <w:rPr>
          <w:i/>
          <w:sz w:val="20"/>
        </w:rPr>
        <w:t>UCLouvain</w:t>
      </w:r>
      <w:proofErr w:type="spellEnd"/>
      <w:r>
        <w:rPr>
          <w:i/>
          <w:sz w:val="20"/>
        </w:rPr>
        <w:t>, Louvain-la-</w:t>
      </w:r>
      <w:proofErr w:type="spellStart"/>
      <w:r>
        <w:rPr>
          <w:i/>
          <w:sz w:val="20"/>
        </w:rPr>
        <w:t>Neuve</w:t>
      </w:r>
      <w:proofErr w:type="spellEnd"/>
      <w:r>
        <w:rPr>
          <w:i/>
          <w:sz w:val="20"/>
        </w:rPr>
        <w:t>, B-1348, Belgium</w:t>
      </w:r>
    </w:p>
    <w:p w14:paraId="2A2026BF" w14:textId="77777777" w:rsidR="004D0654" w:rsidRDefault="00CC2692">
      <w:pPr>
        <w:spacing w:after="243"/>
        <w:ind w:right="0"/>
        <w:jc w:val="left"/>
      </w:pPr>
      <w:r>
        <w:rPr>
          <w:rFonts w:ascii="Calibri" w:eastAsia="Calibri" w:hAnsi="Calibri" w:cs="Calibri"/>
          <w:noProof/>
          <w:sz w:val="22"/>
        </w:rPr>
        <mc:AlternateContent>
          <mc:Choice Requires="wpg">
            <w:drawing>
              <wp:inline distT="0" distB="0" distL="0" distR="0" wp14:anchorId="0BF9B91F" wp14:editId="3F527F10">
                <wp:extent cx="5848896" cy="5055"/>
                <wp:effectExtent l="0" t="0" r="0" b="0"/>
                <wp:docPr id="666" name="Group 6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848896" cy="5055"/>
                          <a:chOff x="0" y="0"/>
                          <a:chExt cx="5848896" cy="5055"/>
                        </a:xfrm>
                      </wpg:grpSpPr>
                      <wps:wsp>
                        <wps:cNvPr id="20" name="Shape 20"/>
                        <wps:cNvSpPr/>
                        <wps:spPr>
                          <a:xfrm>
                            <a:off x="0" y="0"/>
                            <a:ext cx="5848896" cy="0"/>
                          </a:xfrm>
                          <a:custGeom>
                            <a:avLst/>
                            <a:gdLst/>
                            <a:ahLst/>
                            <a:cxnLst/>
                            <a:rect l="0" t="0" r="0" b="0"/>
                            <a:pathLst>
                              <a:path w="5848896">
                                <a:moveTo>
                                  <a:pt x="0" y="0"/>
                                </a:moveTo>
                                <a:lnTo>
                                  <a:pt x="584889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60BB43" id="Group 666" o:spid="_x0000_s1026" alt="&quot;&quot;" style="width:460.55pt;height:.4pt;mso-position-horizontal-relative:char;mso-position-vertical-relative:line" coordsize="584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">
                <v:shape id="Shape 20" o:spid="_x0000_s1027" style="position:absolute;width:58488;height:0;visibility:visible;mso-wrap-style:square;v-text-anchor:top" coordsize="5848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" path="m,l5848896,e" filled="f" strokeweight=".14042mm">
                  <v:stroke miterlimit="83231f" joinstyle="miter"/>
                  <v:path arrowok="t" textboxrect="0,0,5848896,0"/>
                </v:shape>
                <w10:anchorlock/>
              </v:group>
            </w:pict>
          </mc:Fallback>
        </mc:AlternateContent>
      </w:r>
    </w:p>
    <w:p w14:paraId="2E7B2728" w14:textId="77777777" w:rsidR="004D0654" w:rsidRDefault="00CC2692">
      <w:pPr>
        <w:spacing w:after="104"/>
        <w:ind w:right="0"/>
        <w:jc w:val="left"/>
      </w:pPr>
      <w:r>
        <w:rPr>
          <w:b/>
        </w:rPr>
        <w:t>Abstract</w:t>
      </w:r>
    </w:p>
    <w:p w14:paraId="459A0518" w14:textId="77777777" w:rsidR="004D0654" w:rsidRDefault="00CC2692">
      <w:pPr>
        <w:spacing w:after="0" w:line="247" w:lineRule="auto"/>
        <w:ind w:right="0"/>
      </w:pPr>
      <w:r>
        <w:t xml:space="preserve">Reducing exposures to non-performing loans (NPL) is one of the major </w:t>
      </w:r>
      <w:proofErr w:type="gramStart"/>
      <w:r>
        <w:t>issues</w:t>
      </w:r>
      <w:proofErr w:type="gramEnd"/>
      <w:r>
        <w:t xml:space="preserve"> banks have been facing in the aftermath of the</w:t>
      </w:r>
      <w:r>
        <w:t xml:space="preserve"> financial crisis. Although in principle this can promptly be achieved by selling defaulted exposures to specialized investors, several inefficiencies affect the NPL market. Two key factors pointed out by European regulators are the discrepancies in exposu</w:t>
      </w:r>
      <w:r>
        <w:t xml:space="preserve">res’ data availability and valuation methodologies between the bank and the investor. For example, while it is obvious that prices of NPL portfolios depend on the </w:t>
      </w:r>
      <w:r>
        <w:rPr>
          <w:i/>
        </w:rPr>
        <w:t xml:space="preserve">recovery rate </w:t>
      </w:r>
      <w:r>
        <w:t>achievable by the investor, this quantity is unknown at the time of purchase an</w:t>
      </w:r>
      <w:r>
        <w:t xml:space="preserve">d needs to be predicted. To reduce bid-ask spreads, both parties should align on an effective </w:t>
      </w:r>
      <w:proofErr w:type="spellStart"/>
      <w:r>
        <w:t>modeling</w:t>
      </w:r>
      <w:proofErr w:type="spellEnd"/>
      <w:r>
        <w:t xml:space="preserve"> framework. In this paper, we investigate what are the best methods for predicting recovery rates on NPL using a private database from a debt collection a</w:t>
      </w:r>
      <w:r>
        <w:t xml:space="preserve">gency. We benchmark 20 machine learning techniques belonging to the classes of linear, </w:t>
      </w:r>
      <w:proofErr w:type="gramStart"/>
      <w:r>
        <w:t>nonlinear</w:t>
      </w:r>
      <w:proofErr w:type="gramEnd"/>
      <w:r>
        <w:t xml:space="preserve"> and rule-based algorithms. Compared to previous literature, we introduce four new techniques: Gaussian processes, relevance vector machines, conditional infere</w:t>
      </w:r>
      <w:r>
        <w:t>nce trees and Cubist. Predictors include socio-demographic characteristics of defaulted clients, contract specifications and economic indicators at time of default. A special feature of our framework is that we also rely on the recovery data provided by th</w:t>
      </w:r>
      <w:r>
        <w:t xml:space="preserve">e original </w:t>
      </w:r>
      <w:proofErr w:type="gramStart"/>
      <w:r>
        <w:t>loans</w:t>
      </w:r>
      <w:proofErr w:type="gramEnd"/>
      <w:r>
        <w:t xml:space="preserve"> holder such as the time-series of contacts to defaulted clients and clients’ reimbursements to the bank. Using feature engineering, we seek to extract knowledge on clients’ </w:t>
      </w:r>
      <w:proofErr w:type="spellStart"/>
      <w:r>
        <w:t>behavior</w:t>
      </w:r>
      <w:proofErr w:type="spellEnd"/>
      <w:r>
        <w:t xml:space="preserve"> that proxies for their ability or willingness to repay th</w:t>
      </w:r>
      <w:r>
        <w:t>e debt and to characterize the pressure exercised by the bank in soliciting each client. We find these features help models to better identify debtors with different repayment ability and/or commitment, and in general with different recovery potential. Mod</w:t>
      </w:r>
      <w:r>
        <w:t>els having access to bank’s recovery and contact history information exhibit better performances in predicting debt collector’s recovery rates according to all performance measures. Variable importance metrics further emphasize the primary role of these pr</w:t>
      </w:r>
      <w:r>
        <w:t xml:space="preserve">edictors as well as the relevance of contract specifications. The capability of machine learning algorithms to isolate sub-groups of clients is another important quality to consider when </w:t>
      </w:r>
      <w:proofErr w:type="spellStart"/>
      <w:r>
        <w:t>modeling</w:t>
      </w:r>
      <w:proofErr w:type="spellEnd"/>
      <w:r>
        <w:t xml:space="preserve"> recovery rates. We find that rule-based algorithms such as C</w:t>
      </w:r>
      <w:r>
        <w:t>ubist, boosted trees and random forests outperform all the other methods in predicting debt collector’s recovery rates. Performance improvements are registered across all model specifications and are more pronounced when bank’s recovery and contact history</w:t>
      </w:r>
      <w:r>
        <w:t xml:space="preserve"> is considered.</w:t>
      </w:r>
    </w:p>
    <w:p w14:paraId="40C24236" w14:textId="77777777" w:rsidR="004D0654" w:rsidRDefault="00CC2692">
      <w:pPr>
        <w:spacing w:after="810"/>
        <w:ind w:right="0"/>
        <w:jc w:val="left"/>
      </w:pPr>
      <w:r>
        <w:rPr>
          <w:rFonts w:ascii="Calibri" w:eastAsia="Calibri" w:hAnsi="Calibri" w:cs="Calibri"/>
          <w:noProof/>
          <w:sz w:val="22"/>
        </w:rPr>
        <mc:AlternateContent>
          <mc:Choice Requires="wpg">
            <w:drawing>
              <wp:inline distT="0" distB="0" distL="0" distR="0" wp14:anchorId="522FBAAC" wp14:editId="5AE17169">
                <wp:extent cx="5848896" cy="5055"/>
                <wp:effectExtent l="0" t="0" r="0" b="0"/>
                <wp:docPr id="667" name="Group 6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848896" cy="5055"/>
                          <a:chOff x="0" y="0"/>
                          <a:chExt cx="5848896" cy="5055"/>
                        </a:xfrm>
                      </wpg:grpSpPr>
                      <wps:wsp>
                        <wps:cNvPr id="55" name="Shape 55"/>
                        <wps:cNvSpPr/>
                        <wps:spPr>
                          <a:xfrm>
                            <a:off x="0" y="0"/>
                            <a:ext cx="5848896" cy="0"/>
                          </a:xfrm>
                          <a:custGeom>
                            <a:avLst/>
                            <a:gdLst/>
                            <a:ahLst/>
                            <a:cxnLst/>
                            <a:rect l="0" t="0" r="0" b="0"/>
                            <a:pathLst>
                              <a:path w="5848896">
                                <a:moveTo>
                                  <a:pt x="0" y="0"/>
                                </a:moveTo>
                                <a:lnTo>
                                  <a:pt x="584889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782F24" id="Group 667" o:spid="_x0000_s1026" alt="&quot;&quot;" style="width:460.55pt;height:.4pt;mso-position-horizontal-relative:char;mso-position-vertical-relative:line" coordsize="584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">
                <v:shape id="Shape 55" o:spid="_x0000_s1027" style="position:absolute;width:58488;height:0;visibility:visible;mso-wrap-style:square;v-text-anchor:top" coordsize="5848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" path="m,l5848896,e" filled="f" strokeweight=".14042mm">
                  <v:stroke miterlimit="83231f" joinstyle="miter"/>
                  <v:path arrowok="t" textboxrect="0,0,5848896,0"/>
                </v:shape>
                <w10:anchorlock/>
              </v:group>
            </w:pict>
          </mc:Fallback>
        </mc:AlternateContent>
      </w:r>
    </w:p>
    <w:p w14:paraId="7772D8F2" w14:textId="77777777" w:rsidR="004D0654" w:rsidRDefault="00CC2692">
      <w:pPr>
        <w:tabs>
          <w:tab w:val="right" w:pos="9211"/>
        </w:tabs>
        <w:spacing w:after="0"/>
        <w:ind w:right="0"/>
        <w:jc w:val="left"/>
      </w:pPr>
      <w:r>
        <w:rPr>
          <w:i/>
          <w:sz w:val="20"/>
        </w:rPr>
        <w:lastRenderedPageBreak/>
        <w:t>Abstract submitted to Credit Scoring &amp; Credit Control XVI</w:t>
      </w:r>
      <w:r>
        <w:rPr>
          <w:i/>
          <w:sz w:val="20"/>
        </w:rPr>
        <w:tab/>
        <w:t>March 21, 2019</w:t>
      </w:r>
    </w:p>
    <w:sectPr w:rsidR="004D0654">
      <w:pgSz w:w="12240" w:h="15840"/>
      <w:pgMar w:top="1440" w:right="1532" w:bottom="1440" w:left="14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54"/>
    <w:rsid w:val="004D0654"/>
    <w:rsid w:val="00CC2692"/>
    <w:rsid w:val="00E07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87E5"/>
  <w15:docId w15:val="{24020290-0759-4DCE-B7EF-3C0BA091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6"/>
      <w:ind w:right="10"/>
      <w:jc w:val="both"/>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28D12354-742F-433D-B6D0-69063DFBF99D}"/>
</file>

<file path=customXml/itemProps2.xml><?xml version="1.0" encoding="utf-8"?>
<ds:datastoreItem xmlns:ds="http://schemas.openxmlformats.org/officeDocument/2006/customXml" ds:itemID="{576DB20B-E887-4453-BFA6-2CA17CBB37AA}"/>
</file>

<file path=customXml/itemProps3.xml><?xml version="1.0" encoding="utf-8"?>
<ds:datastoreItem xmlns:ds="http://schemas.openxmlformats.org/officeDocument/2006/customXml" ds:itemID="{D81DBFAC-0F45-4F5C-BDB4-7256DCA9FA1A}"/>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cp:lastModifiedBy>Jen</cp:lastModifiedBy>
  <cp:revision>3</cp:revision>
  <dcterms:created xsi:type="dcterms:W3CDTF">2020-10-28T09:52:00Z</dcterms:created>
  <dcterms:modified xsi:type="dcterms:W3CDTF">2020-10-28T09:52:00Z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