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B0AD" w14:textId="77777777" w:rsidR="004E033E" w:rsidRDefault="00A91942">
      <w:pPr>
        <w:spacing w:after="0" w:line="259" w:lineRule="auto"/>
        <w:ind w:left="41" w:firstLine="0"/>
        <w:jc w:val="center"/>
      </w:pPr>
      <w:r>
        <w:rPr>
          <w:b/>
          <w:sz w:val="28"/>
        </w:rPr>
        <w:t xml:space="preserve">CSCC XVI EDINBURGH 2019 </w:t>
      </w:r>
    </w:p>
    <w:p w14:paraId="6B03A8AC" w14:textId="77777777" w:rsidR="004E033E" w:rsidRDefault="00A91942">
      <w:pPr>
        <w:spacing w:after="0" w:line="259" w:lineRule="auto"/>
        <w:ind w:left="91" w:firstLine="0"/>
        <w:jc w:val="center"/>
      </w:pPr>
      <w:r>
        <w:rPr>
          <w:b/>
          <w:i/>
          <w:sz w:val="22"/>
        </w:rPr>
        <w:t xml:space="preserve"> </w:t>
      </w:r>
    </w:p>
    <w:p w14:paraId="066AC7CC" w14:textId="77777777" w:rsidR="004E033E" w:rsidRDefault="00A91942">
      <w:pPr>
        <w:spacing w:after="0" w:line="259" w:lineRule="auto"/>
        <w:ind w:left="49"/>
        <w:jc w:val="center"/>
      </w:pPr>
      <w:r>
        <w:rPr>
          <w:b/>
          <w:sz w:val="22"/>
        </w:rPr>
        <w:t xml:space="preserve">Incorporating Trended Performance data within generic bureau scores for assessing credit risk </w:t>
      </w:r>
    </w:p>
    <w:p w14:paraId="497F9395" w14:textId="77777777" w:rsidR="004E033E" w:rsidRDefault="00A91942">
      <w:pPr>
        <w:spacing w:after="0" w:line="259" w:lineRule="auto"/>
        <w:ind w:left="91" w:firstLine="0"/>
        <w:jc w:val="center"/>
      </w:pPr>
      <w:r>
        <w:rPr>
          <w:b/>
          <w:sz w:val="22"/>
        </w:rPr>
        <w:t xml:space="preserve"> </w:t>
      </w:r>
    </w:p>
    <w:p w14:paraId="3E4D96FE" w14:textId="77777777" w:rsidR="004E033E" w:rsidRDefault="00A91942">
      <w:pPr>
        <w:spacing w:after="0" w:line="259" w:lineRule="auto"/>
        <w:ind w:left="49" w:right="1"/>
        <w:jc w:val="center"/>
      </w:pPr>
      <w:r>
        <w:rPr>
          <w:b/>
          <w:sz w:val="22"/>
        </w:rPr>
        <w:t xml:space="preserve">Abstract </w:t>
      </w:r>
    </w:p>
    <w:p w14:paraId="41A65C46" w14:textId="77777777" w:rsidR="004E033E" w:rsidRDefault="00A91942">
      <w:pPr>
        <w:spacing w:after="0" w:line="259" w:lineRule="auto"/>
        <w:ind w:left="0" w:firstLine="0"/>
      </w:pPr>
      <w:r>
        <w:rPr>
          <w:sz w:val="22"/>
        </w:rPr>
        <w:t xml:space="preserve">  </w:t>
      </w:r>
    </w:p>
    <w:p w14:paraId="262EC6A4" w14:textId="77777777" w:rsidR="004E033E" w:rsidRDefault="00A91942">
      <w:pPr>
        <w:ind w:left="-5"/>
      </w:pPr>
      <w:r>
        <w:t>Traditional bureau scores rank consumer credit risk by referencing a snapshot of an individual's credit profile.  Lenders capture the name and address history for a given applicant which is subsequently used to retrieve their credit bureau data, the return</w:t>
      </w:r>
      <w:r>
        <w:t xml:space="preserve">ed information is then summarised in a large suite of summary variables that mostly report on the current credit position, such as "total outstanding debt", or "total credit limit utilisation". </w:t>
      </w:r>
    </w:p>
    <w:p w14:paraId="6B8759EB" w14:textId="77777777" w:rsidR="004E033E" w:rsidRDefault="00A91942">
      <w:pPr>
        <w:spacing w:after="0" w:line="259" w:lineRule="auto"/>
        <w:ind w:left="540" w:firstLine="0"/>
      </w:pPr>
      <w:r>
        <w:t xml:space="preserve">  </w:t>
      </w:r>
    </w:p>
    <w:p w14:paraId="42916C21" w14:textId="77777777" w:rsidR="004E033E" w:rsidRDefault="00A91942">
      <w:pPr>
        <w:ind w:left="-5"/>
      </w:pPr>
      <w:r>
        <w:t xml:space="preserve">As consumer credit products evolve, and lending practices </w:t>
      </w:r>
      <w:r>
        <w:t>come under ever greater scrutiny, there is more emphasis placed on understanding the stability of consumers credit profiles.  After the global credit crunch underwriters wanted to see a more granular level of credit information with respect to how consumer</w:t>
      </w:r>
      <w:r>
        <w:t xml:space="preserve">s managed repayments over time.  </w:t>
      </w:r>
      <w:proofErr w:type="gramStart"/>
      <w:r>
        <w:t>Additionally</w:t>
      </w:r>
      <w:proofErr w:type="gramEnd"/>
      <w:r>
        <w:t xml:space="preserve"> there is increased accountability placed upon lenders by regulators to understand the early signs of customer financial stress and take reasonable action to prevent this, or at least to better support financial</w:t>
      </w:r>
      <w:r>
        <w:t xml:space="preserve"> recovery. </w:t>
      </w:r>
    </w:p>
    <w:p w14:paraId="5FEE0D38" w14:textId="77777777" w:rsidR="004E033E" w:rsidRDefault="00A91942">
      <w:pPr>
        <w:spacing w:after="0" w:line="259" w:lineRule="auto"/>
        <w:ind w:left="540" w:firstLine="0"/>
      </w:pPr>
      <w:r>
        <w:t xml:space="preserve">  </w:t>
      </w:r>
    </w:p>
    <w:p w14:paraId="4A7E1860" w14:textId="77777777" w:rsidR="004E033E" w:rsidRDefault="00A91942">
      <w:pPr>
        <w:ind w:left="-5"/>
      </w:pPr>
      <w:r>
        <w:t xml:space="preserve">Even without these challenges it is becoming harder to attract the best customers, as product choice </w:t>
      </w:r>
      <w:proofErr w:type="gramStart"/>
      <w:r>
        <w:t>widens</w:t>
      </w:r>
      <w:proofErr w:type="gramEnd"/>
      <w:r>
        <w:t xml:space="preserve"> and competitors adapt to an increasingly varied and complex data world.  New techniques and improving processing capability allow len</w:t>
      </w:r>
      <w:r>
        <w:t>ders to draw on larger quantities of data to build that understanding.  How though should this data be harnessed, and when is it appropriate?  Certain types of data such as demographic information may be permissible to use but can unintentionally reflect p</w:t>
      </w:r>
      <w:r>
        <w:t xml:space="preserve">oorly for consumers, (consider a young adult moving out of their parent's home, previously having benefitted from their geographic risk profile). </w:t>
      </w:r>
    </w:p>
    <w:p w14:paraId="6279FE74" w14:textId="77777777" w:rsidR="004E033E" w:rsidRDefault="00A91942">
      <w:pPr>
        <w:spacing w:after="0" w:line="259" w:lineRule="auto"/>
        <w:ind w:left="540" w:firstLine="0"/>
      </w:pPr>
      <w:r>
        <w:t xml:space="preserve">   </w:t>
      </w:r>
    </w:p>
    <w:p w14:paraId="7D239156" w14:textId="77777777" w:rsidR="004E033E" w:rsidRDefault="00A91942">
      <w:pPr>
        <w:ind w:left="-5"/>
      </w:pPr>
      <w:proofErr w:type="gramStart"/>
      <w:r>
        <w:t>So</w:t>
      </w:r>
      <w:proofErr w:type="gramEnd"/>
      <w:r>
        <w:t xml:space="preserve"> what trended insights can be generated from this type of data and why is that beneficial.  What proble</w:t>
      </w:r>
      <w:r>
        <w:t xml:space="preserve">m does it solve? </w:t>
      </w:r>
    </w:p>
    <w:p w14:paraId="588B9158" w14:textId="77777777" w:rsidR="004E033E" w:rsidRDefault="00A91942">
      <w:pPr>
        <w:spacing w:after="0" w:line="259" w:lineRule="auto"/>
        <w:ind w:left="0" w:firstLine="0"/>
      </w:pPr>
      <w:r>
        <w:t xml:space="preserve"> </w:t>
      </w:r>
    </w:p>
    <w:p w14:paraId="7D53B59B" w14:textId="77777777" w:rsidR="004E033E" w:rsidRDefault="00A91942">
      <w:pPr>
        <w:ind w:left="-5"/>
      </w:pPr>
      <w:r>
        <w:t xml:space="preserve">CRA's hold a lot of data in relation to a </w:t>
      </w:r>
      <w:proofErr w:type="gramStart"/>
      <w:r>
        <w:t>consumers</w:t>
      </w:r>
      <w:proofErr w:type="gramEnd"/>
      <w:r>
        <w:t xml:space="preserve"> credit history (this paper focusses on payment/spend information specifically), but not all of it has been used historically within the credit decision.  Much of the history is archive</w:t>
      </w:r>
      <w:r>
        <w:t xml:space="preserve">d as it is needed to support queries on previous credit assessments or for lenders to revisit credit strategy off-line in an analytical environment, (with the ultimate aim of providing better service to consumers).  </w:t>
      </w:r>
    </w:p>
    <w:p w14:paraId="0F6AF6F2" w14:textId="77777777" w:rsidR="004E033E" w:rsidRDefault="00A91942">
      <w:pPr>
        <w:spacing w:after="0" w:line="259" w:lineRule="auto"/>
        <w:ind w:left="0" w:firstLine="0"/>
      </w:pPr>
      <w:r>
        <w:t xml:space="preserve"> </w:t>
      </w:r>
    </w:p>
    <w:p w14:paraId="15904A4E" w14:textId="77777777" w:rsidR="004E033E" w:rsidRDefault="00A91942">
      <w:pPr>
        <w:ind w:left="-5"/>
      </w:pPr>
      <w:r>
        <w:t>This paper discussed the impact/gains</w:t>
      </w:r>
      <w:r>
        <w:t xml:space="preserve"> from incorporating trended data into the scoring process as we look to identify patterns in the data which highlight how much financial control a consumer is showing, how stable that control is, whether we can see early signs of stress via diminished re-p</w:t>
      </w:r>
      <w:r>
        <w:t xml:space="preserve">ayment capability. </w:t>
      </w:r>
    </w:p>
    <w:p w14:paraId="5B7F4224" w14:textId="77777777" w:rsidR="004E033E" w:rsidRDefault="00A91942">
      <w:pPr>
        <w:spacing w:after="0" w:line="259" w:lineRule="auto"/>
        <w:ind w:left="540" w:firstLine="0"/>
      </w:pPr>
      <w:r>
        <w:t xml:space="preserve">  </w:t>
      </w:r>
    </w:p>
    <w:p w14:paraId="3C193492" w14:textId="77777777" w:rsidR="004E033E" w:rsidRDefault="00A91942">
      <w:pPr>
        <w:ind w:left="-5"/>
      </w:pPr>
      <w:r>
        <w:t xml:space="preserve">Also considered are how these trended characteristics provide benefit outside of credit scoring/underwriting, i.e. how a lender may choose to monitor and report </w:t>
      </w:r>
      <w:r>
        <w:t xml:space="preserve">on the evolving risk within their expanding </w:t>
      </w:r>
      <w:proofErr w:type="gramStart"/>
      <w:r>
        <w:t>portfolio's</w:t>
      </w:r>
      <w:proofErr w:type="gramEnd"/>
      <w:r>
        <w:t xml:space="preserve">. </w:t>
      </w:r>
    </w:p>
    <w:p w14:paraId="2E02A88C" w14:textId="77777777" w:rsidR="004E033E" w:rsidRDefault="00A91942">
      <w:pPr>
        <w:spacing w:after="120" w:line="259" w:lineRule="auto"/>
        <w:ind w:left="0" w:firstLine="0"/>
      </w:pPr>
      <w:r>
        <w:rPr>
          <w:rFonts w:ascii="Calibri" w:eastAsia="Calibri" w:hAnsi="Calibri" w:cs="Calibri"/>
          <w:sz w:val="22"/>
        </w:rPr>
        <w:t xml:space="preserve"> </w:t>
      </w:r>
    </w:p>
    <w:p w14:paraId="3708BEBA" w14:textId="77777777" w:rsidR="004E033E" w:rsidRDefault="00A91942">
      <w:pPr>
        <w:spacing w:after="196" w:line="259" w:lineRule="auto"/>
        <w:ind w:left="0" w:firstLine="0"/>
      </w:pPr>
      <w:r>
        <w:rPr>
          <w:sz w:val="18"/>
        </w:rPr>
        <w:t xml:space="preserve">Kind Regards </w:t>
      </w:r>
    </w:p>
    <w:p w14:paraId="6589C46D" w14:textId="77777777" w:rsidR="004E033E" w:rsidRDefault="00A91942">
      <w:pPr>
        <w:spacing w:after="136" w:line="259" w:lineRule="auto"/>
        <w:ind w:left="0" w:firstLine="0"/>
      </w:pPr>
      <w:r>
        <w:rPr>
          <w:color w:val="1F497D"/>
          <w:sz w:val="22"/>
        </w:rPr>
        <w:t xml:space="preserve"> </w:t>
      </w:r>
    </w:p>
    <w:p w14:paraId="71418826" w14:textId="77777777" w:rsidR="004E033E" w:rsidRDefault="00A91942">
      <w:pPr>
        <w:pStyle w:val="Heading1"/>
      </w:pPr>
      <w:r>
        <w:t xml:space="preserve">Iain </w:t>
      </w:r>
      <w:proofErr w:type="spellStart"/>
      <w:r>
        <w:t>Deuchars</w:t>
      </w:r>
      <w:proofErr w:type="spellEnd"/>
      <w:r>
        <w:t xml:space="preserve"> </w:t>
      </w:r>
    </w:p>
    <w:p w14:paraId="7A1111FD" w14:textId="77777777" w:rsidR="004E033E" w:rsidRDefault="00A91942">
      <w:pPr>
        <w:spacing w:after="142" w:line="259" w:lineRule="auto"/>
        <w:ind w:left="0" w:firstLine="0"/>
      </w:pPr>
      <w:r>
        <w:rPr>
          <w:b/>
          <w:color w:val="5F497A"/>
        </w:rPr>
        <w:t xml:space="preserve">Bureau Analytics - </w:t>
      </w:r>
      <w:r>
        <w:rPr>
          <w:b/>
          <w:i/>
          <w:color w:val="5F497A"/>
        </w:rPr>
        <w:t>Senior Analytics Manager</w:t>
      </w:r>
      <w:r>
        <w:rPr>
          <w:b/>
          <w:color w:val="5F497A"/>
        </w:rPr>
        <w:t xml:space="preserve"> </w:t>
      </w:r>
    </w:p>
    <w:p w14:paraId="7BEBFE3C" w14:textId="77777777" w:rsidR="004E033E" w:rsidRDefault="00A91942">
      <w:pPr>
        <w:spacing w:after="0" w:line="382" w:lineRule="auto"/>
        <w:ind w:left="0" w:right="419" w:firstLine="0"/>
      </w:pPr>
      <w:r>
        <w:rPr>
          <w:color w:val="7F7F7F"/>
        </w:rPr>
        <w:lastRenderedPageBreak/>
        <w:t xml:space="preserve">The Sir John Peace Building | Experian Way | NG2 Business Park | Nottingham | NG80 1ZZ  </w:t>
      </w:r>
      <w:hyperlink r:id="rId4">
        <w:r>
          <w:rPr>
            <w:color w:val="0000FF"/>
            <w:u w:val="single" w:color="0000FF"/>
          </w:rPr>
          <w:t>www.experian.co.uk/analytics</w:t>
        </w:r>
      </w:hyperlink>
      <w:hyperlink r:id="rId5">
        <w:r>
          <w:rPr>
            <w:color w:val="015CAE"/>
            <w:sz w:val="22"/>
          </w:rPr>
          <w:t xml:space="preserve"> </w:t>
        </w:r>
      </w:hyperlink>
    </w:p>
    <w:sectPr w:rsidR="004E033E">
      <w:pgSz w:w="12240" w:h="15840"/>
      <w:pgMar w:top="1440" w:right="147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33E"/>
    <w:rsid w:val="004E033E"/>
    <w:rsid w:val="00A91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A7E4"/>
  <w15:docId w15:val="{C8FBBAC3-AFAC-47CA-8B0E-4CB83E45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44"/>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xperian.co.uk/analytics" TargetMode="External"/><Relationship Id="rId10" Type="http://schemas.openxmlformats.org/officeDocument/2006/relationships/customXml" Target="../customXml/item3.xml"/><Relationship Id="rId4" Type="http://schemas.openxmlformats.org/officeDocument/2006/relationships/hyperlink" Target="http://www.experian.co.uk/analytics"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F9F5073D-D606-4003-8EB8-6C782B852047}"/>
</file>

<file path=customXml/itemProps2.xml><?xml version="1.0" encoding="utf-8"?>
<ds:datastoreItem xmlns:ds="http://schemas.openxmlformats.org/officeDocument/2006/customXml" ds:itemID="{32A8BA57-BDF8-4E12-9FA3-2B4DB6E5B031}"/>
</file>

<file path=customXml/itemProps3.xml><?xml version="1.0" encoding="utf-8"?>
<ds:datastoreItem xmlns:ds="http://schemas.openxmlformats.org/officeDocument/2006/customXml" ds:itemID="{6DD699DC-AD7B-461A-AF51-C0E0B8118ED1}"/>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Deuchars, Iain</dc:creator>
  <cp:keywords/>
  <cp:lastModifiedBy>Jen</cp:lastModifiedBy>
  <cp:revision>2</cp:revision>
  <dcterms:created xsi:type="dcterms:W3CDTF">2020-10-28T10:22:00Z</dcterms:created>
  <dcterms:modified xsi:type="dcterms:W3CDTF">2020-10-28T10:22:00Z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