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677ED" w14:textId="77777777" w:rsidR="00D7081F" w:rsidRDefault="000B526B">
      <w:pPr>
        <w:spacing w:after="201"/>
        <w:ind w:left="0" w:right="0" w:firstLine="0"/>
        <w:jc w:val="center"/>
      </w:pPr>
      <w:r>
        <w:rPr>
          <w:sz w:val="41"/>
        </w:rPr>
        <w:t>Modelling mortgage default resolution times</w:t>
      </w:r>
    </w:p>
    <w:p w14:paraId="3073A30E" w14:textId="77777777" w:rsidR="00D7081F" w:rsidRDefault="000B526B">
      <w:pPr>
        <w:spacing w:after="811"/>
        <w:ind w:left="0" w:right="0" w:firstLine="0"/>
        <w:jc w:val="center"/>
      </w:pPr>
      <w:r>
        <w:rPr>
          <w:sz w:val="29"/>
        </w:rPr>
        <w:t>Trevor Fitzpatrick</w:t>
      </w:r>
      <w:r>
        <w:rPr>
          <w:sz w:val="29"/>
          <w:vertAlign w:val="superscript"/>
        </w:rPr>
        <w:footnoteReference w:id="1"/>
      </w:r>
      <w:r>
        <w:rPr>
          <w:sz w:val="29"/>
        </w:rPr>
        <w:t xml:space="preserve">and Christophe </w:t>
      </w:r>
      <w:proofErr w:type="spellStart"/>
      <w:r>
        <w:rPr>
          <w:sz w:val="29"/>
        </w:rPr>
        <w:t>Mues</w:t>
      </w:r>
      <w:proofErr w:type="spellEnd"/>
    </w:p>
    <w:p w14:paraId="5F430F66" w14:textId="77777777" w:rsidR="00D7081F" w:rsidRDefault="000B526B">
      <w:pPr>
        <w:pStyle w:val="Heading1"/>
        <w:numPr>
          <w:ilvl w:val="0"/>
          <w:numId w:val="0"/>
        </w:numPr>
        <w:spacing w:after="126"/>
        <w:jc w:val="center"/>
      </w:pPr>
      <w:r>
        <w:rPr>
          <w:sz w:val="22"/>
        </w:rPr>
        <w:t>Abstract</w:t>
      </w:r>
    </w:p>
    <w:p w14:paraId="2AB2A88D" w14:textId="77777777" w:rsidR="00D7081F" w:rsidRDefault="000B526B">
      <w:pPr>
        <w:spacing w:after="260"/>
        <w:ind w:left="585" w:firstLine="327"/>
      </w:pPr>
      <w:r>
        <w:t>This research explores the drivers of resolution times for defaulted mortgages. Recoveries on mortgage loans are typically work-out with cash-flows coming from sale of the property collateral. In a distressed mortgage market, resolution duration may be lon</w:t>
      </w:r>
      <w:r>
        <w:t>ger and loss severities could be higher. A longer time to recovery for a mortgage may mean increased uncertainty as to the timing of cash-flows from collateral realisation and the value received at the sale date. Using survival analysis, the paper investig</w:t>
      </w:r>
      <w:r>
        <w:t>ates what the important factors are for explaining post-default resolution times for mortgages in Ireland. Given the setting of a distressed mortgage market, the paper whether any of the explanatory factors have a non-linear effect on resolution time and t</w:t>
      </w:r>
      <w:r>
        <w:t>he sensitivity of model choice to the estimated resolution time.</w:t>
      </w:r>
    </w:p>
    <w:p w14:paraId="22F903AA" w14:textId="77777777" w:rsidR="00D7081F" w:rsidRDefault="000B526B">
      <w:pPr>
        <w:spacing w:after="532"/>
        <w:ind w:left="153" w:right="0" w:firstLine="0"/>
        <w:jc w:val="center"/>
      </w:pPr>
      <w:r>
        <w:rPr>
          <w:rFonts w:ascii="Calibri" w:eastAsia="Calibri" w:hAnsi="Calibri" w:cs="Calibri"/>
          <w:i/>
        </w:rPr>
        <w:t xml:space="preserve">Keywords— </w:t>
      </w:r>
      <w:r>
        <w:t>survival analysis, resolution time, mortgages, non-performing loans</w:t>
      </w:r>
    </w:p>
    <w:p w14:paraId="460E4D73" w14:textId="77777777" w:rsidR="00D7081F" w:rsidRDefault="000B526B">
      <w:pPr>
        <w:pStyle w:val="Heading1"/>
        <w:ind w:left="566" w:hanging="581"/>
      </w:pPr>
      <w:r>
        <w:t>Summary</w:t>
      </w:r>
    </w:p>
    <w:p w14:paraId="2DBE1390" w14:textId="77777777" w:rsidR="00D7081F" w:rsidRDefault="000B526B">
      <w:pPr>
        <w:spacing w:after="0"/>
        <w:ind w:left="-15" w:right="-15" w:firstLine="0"/>
      </w:pPr>
      <w:r>
        <w:t>This research explores the drivers of resolution times for defaulted mortgages. Recoveries on mortgage lo</w:t>
      </w:r>
      <w:r>
        <w:t>ans are typically work-out with cash-flows coming from sale of the property collateral. In a distressed mortgage market, resolution duration may be longer and loss severities could be higher. A longer time to recovery for a mortgage may mean increased unce</w:t>
      </w:r>
      <w:r>
        <w:t>rtainty as to the timing of cash-flows from collateral realisation and the value received at the sale date. This is a particular problem in a distressed property market.</w:t>
      </w:r>
    </w:p>
    <w:p w14:paraId="70014C88" w14:textId="77777777" w:rsidR="00D7081F" w:rsidRDefault="000B526B">
      <w:pPr>
        <w:spacing w:after="0"/>
        <w:ind w:left="-15" w:right="-15" w:firstLine="351"/>
      </w:pPr>
      <w:r>
        <w:t>Because recoveries can be incomplete, this research draws on two strands of the LGD mo</w:t>
      </w:r>
      <w:r>
        <w:t xml:space="preserve">delling literature. LGD samples can be relatively short, while time to recovery can be relatively long. As a result, recoveries are often right censored due to the LGD </w:t>
      </w:r>
      <w:proofErr w:type="spellStart"/>
      <w:r>
        <w:t>sampleend</w:t>
      </w:r>
      <w:proofErr w:type="spellEnd"/>
      <w:r>
        <w:t xml:space="preserve"> date. The censored recoveries may have different characteristics from those of</w:t>
      </w:r>
      <w:r>
        <w:t xml:space="preserve"> </w:t>
      </w:r>
      <w:proofErr w:type="spellStart"/>
      <w:r>
        <w:t>noncensored</w:t>
      </w:r>
      <w:proofErr w:type="spellEnd"/>
      <w:r>
        <w:t xml:space="preserve"> or closed recoveries. Work in this part of the literature adapts survival </w:t>
      </w:r>
      <w:r>
        <w:lastRenderedPageBreak/>
        <w:t>analysis to investigating work-out LGD (</w:t>
      </w:r>
      <w:proofErr w:type="spellStart"/>
      <w:r>
        <w:t>Dermine</w:t>
      </w:r>
      <w:proofErr w:type="spellEnd"/>
      <w:r>
        <w:t xml:space="preserve"> and de Carvalho, 2006; Chen, 2018), estimates of recovery time (</w:t>
      </w:r>
      <w:proofErr w:type="spellStart"/>
      <w:r>
        <w:t>Rapisarda</w:t>
      </w:r>
      <w:proofErr w:type="spellEnd"/>
      <w:r>
        <w:t xml:space="preserve"> and </w:t>
      </w:r>
      <w:proofErr w:type="spellStart"/>
      <w:r>
        <w:t>Echeverry</w:t>
      </w:r>
      <w:proofErr w:type="spellEnd"/>
      <w:r>
        <w:t>, 2013), or the factors and specif</w:t>
      </w:r>
      <w:r>
        <w:t>ications that can affect recovery time (Betz et al., 2016, 2017). Using survival analysis enables the inclusion of incomplete workouts.</w:t>
      </w:r>
    </w:p>
    <w:p w14:paraId="7CE1F9B5" w14:textId="77777777" w:rsidR="00D7081F" w:rsidRDefault="000B526B">
      <w:pPr>
        <w:spacing w:after="0"/>
        <w:ind w:left="-15" w:right="-15" w:firstLine="351"/>
      </w:pPr>
      <w:r>
        <w:t>The second strand deals with various drivers of LGD (</w:t>
      </w:r>
      <w:proofErr w:type="spellStart"/>
      <w:r>
        <w:t>Loterman</w:t>
      </w:r>
      <w:proofErr w:type="spellEnd"/>
      <w:r>
        <w:t xml:space="preserve"> et al., 2011; </w:t>
      </w:r>
      <w:proofErr w:type="spellStart"/>
      <w:r>
        <w:t>Gurtler</w:t>
      </w:r>
      <w:proofErr w:type="spellEnd"/>
      <w:r>
        <w:t xml:space="preserve"> and </w:t>
      </w:r>
      <w:proofErr w:type="spellStart"/>
      <w:r>
        <w:t>Hibbeln</w:t>
      </w:r>
      <w:proofErr w:type="spellEnd"/>
      <w:r>
        <w:t>, 2013; Tong et al., 2014</w:t>
      </w:r>
      <w:r>
        <w:t xml:space="preserve">; </w:t>
      </w:r>
      <w:proofErr w:type="spellStart"/>
      <w:r>
        <w:t>Kru¨ger</w:t>
      </w:r>
      <w:proofErr w:type="spellEnd"/>
      <w:r>
        <w:t xml:space="preserve"> and </w:t>
      </w:r>
      <w:proofErr w:type="spellStart"/>
      <w:r>
        <w:t>R¨osch</w:t>
      </w:r>
      <w:proofErr w:type="spellEnd"/>
      <w:r>
        <w:t xml:space="preserve">, 2017). A model of LGD depends on several groups of factors such </w:t>
      </w:r>
      <w:proofErr w:type="gramStart"/>
      <w:r>
        <w:t>obligors</w:t>
      </w:r>
      <w:proofErr w:type="gramEnd"/>
      <w:r>
        <w:t xml:space="preserve"> characteristics, collateral types, product features, the macro- economic environment since origination. These have been investigated in (Qi and Yang, 2009; Zhang</w:t>
      </w:r>
      <w:r>
        <w:t xml:space="preserve"> and Thomas, 2014; Bellotti and Crook, 2013; </w:t>
      </w:r>
      <w:proofErr w:type="spellStart"/>
      <w:r>
        <w:t>Tobback</w:t>
      </w:r>
      <w:proofErr w:type="spellEnd"/>
      <w:r>
        <w:t xml:space="preserve"> et al., 2014; </w:t>
      </w:r>
      <w:proofErr w:type="spellStart"/>
      <w:r>
        <w:t>Dendramis</w:t>
      </w:r>
      <w:proofErr w:type="spellEnd"/>
      <w:r>
        <w:t xml:space="preserve"> et al., 2018).</w:t>
      </w:r>
    </w:p>
    <w:p w14:paraId="0435A226" w14:textId="77777777" w:rsidR="00D7081F" w:rsidRDefault="000B526B">
      <w:pPr>
        <w:spacing w:after="0"/>
        <w:ind w:left="-15" w:right="-15" w:firstLine="351"/>
      </w:pPr>
      <w:r>
        <w:t>Most of this research is based on a period since the Global Financial Crisis (GFC). As a result of the GFC in several countries, a significant amount of loan restru</w:t>
      </w:r>
      <w:r>
        <w:t>cturing occurred to return borrowers to performing status. In some countries, because of public policy changes during the crisis period, recourse to collateral was restricted (</w:t>
      </w:r>
      <w:proofErr w:type="spellStart"/>
      <w:r>
        <w:t>Dendramis</w:t>
      </w:r>
      <w:proofErr w:type="spellEnd"/>
      <w:r>
        <w:t xml:space="preserve"> et al., 2018). In others, rather than engage in lengthy repossession p</w:t>
      </w:r>
      <w:r>
        <w:t xml:space="preserve">roceedings due to </w:t>
      </w:r>
      <w:proofErr w:type="gramStart"/>
      <w:r>
        <w:t>a large number of</w:t>
      </w:r>
      <w:proofErr w:type="gramEnd"/>
      <w:r>
        <w:t xml:space="preserve"> distressed borrowers, some banks engaged in a voluntary sale/surrender deals with borrowers (Kelly and McCann, 2016). In addition, the volatile economic environment in post crisis countries also may affect estimation of </w:t>
      </w:r>
      <w:r>
        <w:t>resolution times. Overall, this suggests that models should be potentially adaptable to changing conditions during the observation period.</w:t>
      </w:r>
    </w:p>
    <w:p w14:paraId="189A35FE" w14:textId="77777777" w:rsidR="00D7081F" w:rsidRDefault="000B526B">
      <w:pPr>
        <w:spacing w:after="6"/>
        <w:ind w:left="-15" w:right="-15" w:firstLine="351"/>
      </w:pPr>
      <w:r>
        <w:t>This context leads to the main questions addressed by this research. First, what are the important factors for explai</w:t>
      </w:r>
      <w:r>
        <w:t xml:space="preserve">ning post-default resolution times for mortgages and the relative importance of different explanatory </w:t>
      </w:r>
      <w:proofErr w:type="gramStart"/>
      <w:r>
        <w:t>factors?.</w:t>
      </w:r>
      <w:proofErr w:type="gramEnd"/>
      <w:r>
        <w:t xml:space="preserve"> Second, given the setting of a distressed mortgage market, we investigate whether any of the explanatory factors have a non-linear effect on res</w:t>
      </w:r>
      <w:r>
        <w:t>olution time. This may be particularly important for Loan to Value (LTV) at default. This could be the case because mortgage distress typically follows a housing boom, and many borrowers in the subsequent downturn could experience negative equity at the po</w:t>
      </w:r>
      <w:r>
        <w:t>int of default. Third, the implications of various modelling approaches for estimation of resolution time are explored.</w:t>
      </w:r>
    </w:p>
    <w:p w14:paraId="6F160EDD" w14:textId="77777777" w:rsidR="00D7081F" w:rsidRDefault="000B526B">
      <w:pPr>
        <w:spacing w:after="0"/>
        <w:ind w:left="-15" w:right="-15" w:firstLine="351"/>
      </w:pPr>
      <w:r>
        <w:t xml:space="preserve">The proposed research contributes </w:t>
      </w:r>
      <w:proofErr w:type="gramStart"/>
      <w:r>
        <w:t>in</w:t>
      </w:r>
      <w:proofErr w:type="gramEnd"/>
      <w:r>
        <w:t xml:space="preserve"> three main ways. It examines whether the type of resolution systematically affects recovery time. B</w:t>
      </w:r>
      <w:r>
        <w:t xml:space="preserve">etter understanding of resolution times for </w:t>
      </w:r>
      <w:proofErr w:type="spellStart"/>
      <w:proofErr w:type="gramStart"/>
      <w:r>
        <w:t>Non Performing</w:t>
      </w:r>
      <w:proofErr w:type="spellEnd"/>
      <w:proofErr w:type="gramEnd"/>
      <w:r>
        <w:t xml:space="preserve"> Loans is particularly important post-crisis as Non-Performing Loans (NPLs) remain a financial stability and prudential supervision risk. Second, for practitioners and regulators, time to resolution</w:t>
      </w:r>
      <w:r>
        <w:t xml:space="preserve"> is an important in parameter collective provisioning models as they determine the period over which discounting of collateral cash-flows occurs. For IFRS 9 purposes, estimation of life-time losses for collective impairment calculations </w:t>
      </w:r>
      <w:proofErr w:type="gramStart"/>
      <w:r>
        <w:t>requires</w:t>
      </w:r>
      <w:proofErr w:type="gramEnd"/>
      <w:r>
        <w:t xml:space="preserve"> appropriat</w:t>
      </w:r>
      <w:r>
        <w:t xml:space="preserve">e estimation of this parameter. Finally, a significant amount of the emerging literature on resolution time focuses on Small and Medium-sized Enterprises (SME) and corporate credit. Mortgages are a substantial asset class for European and US banks and are </w:t>
      </w:r>
      <w:r>
        <w:t>therefore the subject of this paper.</w:t>
      </w:r>
    </w:p>
    <w:p w14:paraId="3C4519F7" w14:textId="77777777" w:rsidR="00D7081F" w:rsidRDefault="000B526B">
      <w:pPr>
        <w:pStyle w:val="Heading1"/>
        <w:numPr>
          <w:ilvl w:val="0"/>
          <w:numId w:val="0"/>
        </w:numPr>
        <w:ind w:left="-5"/>
      </w:pPr>
      <w:r>
        <w:lastRenderedPageBreak/>
        <w:t>References</w:t>
      </w:r>
    </w:p>
    <w:p w14:paraId="4201DEF0" w14:textId="77777777" w:rsidR="00D7081F" w:rsidRDefault="000B526B">
      <w:pPr>
        <w:ind w:left="229" w:right="-15"/>
      </w:pPr>
      <w:r>
        <w:t>Bellotti, T., Crook, J., Sep. 2013. Forecasting and stress testing credit card default using dynamic models. International Journal of Forecasting 29 (4), 563–574.</w:t>
      </w:r>
    </w:p>
    <w:p w14:paraId="5CD27E98" w14:textId="77777777" w:rsidR="00D7081F" w:rsidRDefault="000B526B">
      <w:pPr>
        <w:ind w:left="229" w:right="-15"/>
      </w:pPr>
      <w:r>
        <w:t xml:space="preserve">Betz, J., Kellner, R., </w:t>
      </w:r>
      <w:proofErr w:type="spellStart"/>
      <w:r>
        <w:t>R¨osch</w:t>
      </w:r>
      <w:proofErr w:type="spellEnd"/>
      <w:r>
        <w:t>, D., Aug. 2016. What drives the time to resolution of defaulted</w:t>
      </w:r>
      <w:r>
        <w:t xml:space="preserve"> bank loans? Finance Research Letters 18 (C), 7–31.</w:t>
      </w:r>
    </w:p>
    <w:p w14:paraId="124F6C28" w14:textId="77777777" w:rsidR="00D7081F" w:rsidRDefault="000B526B">
      <w:pPr>
        <w:ind w:left="229" w:right="-15"/>
      </w:pPr>
      <w:r>
        <w:t xml:space="preserve">Betz, J., </w:t>
      </w:r>
      <w:proofErr w:type="spellStart"/>
      <w:r>
        <w:t>Kru¨ger</w:t>
      </w:r>
      <w:proofErr w:type="spellEnd"/>
      <w:r>
        <w:t xml:space="preserve">, S., Kellner, R., </w:t>
      </w:r>
      <w:proofErr w:type="spellStart"/>
      <w:r>
        <w:t>R¨osch</w:t>
      </w:r>
      <w:proofErr w:type="spellEnd"/>
      <w:r>
        <w:t>, D., Oct. 2017. Macroeconomic effects and frailties in the resolution of non-performing loans. Journal of Banking and Finance, 1–26.</w:t>
      </w:r>
    </w:p>
    <w:p w14:paraId="0BF4F355" w14:textId="77777777" w:rsidR="00D7081F" w:rsidRDefault="000B526B">
      <w:pPr>
        <w:ind w:left="229" w:right="-15"/>
      </w:pPr>
      <w:r>
        <w:t>Chen, H. Z., 2018. A new mod</w:t>
      </w:r>
      <w:r>
        <w:t>el for bank loan loss given default by leveraging time to recovery. The Journal of Credit Risk 14 (3), 1–29.</w:t>
      </w:r>
    </w:p>
    <w:p w14:paraId="4F27AB37" w14:textId="77777777" w:rsidR="00D7081F" w:rsidRDefault="000B526B">
      <w:pPr>
        <w:ind w:left="229" w:right="-15"/>
      </w:pPr>
      <w:proofErr w:type="spellStart"/>
      <w:r>
        <w:t>Dendramis</w:t>
      </w:r>
      <w:proofErr w:type="spellEnd"/>
      <w:r>
        <w:t xml:space="preserve">, Y., </w:t>
      </w:r>
      <w:proofErr w:type="spellStart"/>
      <w:r>
        <w:t>Tzavalis</w:t>
      </w:r>
      <w:proofErr w:type="spellEnd"/>
      <w:r>
        <w:t xml:space="preserve">, E., </w:t>
      </w:r>
      <w:proofErr w:type="spellStart"/>
      <w:r>
        <w:t>Adraktas</w:t>
      </w:r>
      <w:proofErr w:type="spellEnd"/>
      <w:r>
        <w:t>, G., Jun. 2018. Credit risk modelling under recessionary and financially distressed conditions. Journal of Ba</w:t>
      </w:r>
      <w:r>
        <w:t>nking and Finance 91, 160–175.</w:t>
      </w:r>
    </w:p>
    <w:p w14:paraId="3FE044AE" w14:textId="77777777" w:rsidR="00D7081F" w:rsidRDefault="000B526B">
      <w:pPr>
        <w:ind w:left="229" w:right="-15"/>
      </w:pPr>
      <w:proofErr w:type="spellStart"/>
      <w:r>
        <w:t>Dermine</w:t>
      </w:r>
      <w:proofErr w:type="spellEnd"/>
      <w:r>
        <w:t>, J., de Carvalho, C. N., Apr. 2006. Bank loan losses-given-default: A case study. Journal of Banking &amp; Finance 30 (4), 1219–1243.</w:t>
      </w:r>
    </w:p>
    <w:p w14:paraId="19B7B00A" w14:textId="77777777" w:rsidR="00D7081F" w:rsidRDefault="000B526B">
      <w:pPr>
        <w:ind w:left="229" w:right="-15"/>
      </w:pPr>
      <w:proofErr w:type="spellStart"/>
      <w:r>
        <w:t>Gurtler</w:t>
      </w:r>
      <w:proofErr w:type="spellEnd"/>
      <w:r>
        <w:t xml:space="preserve">, M., </w:t>
      </w:r>
      <w:proofErr w:type="spellStart"/>
      <w:r>
        <w:t>Hibbeln</w:t>
      </w:r>
      <w:proofErr w:type="spellEnd"/>
      <w:r>
        <w:t>, M., Jul. 2013. Improvements in loss given default forecasts for b</w:t>
      </w:r>
      <w:r>
        <w:t>ank loans. Journal of Banking and Finance 37 (7), 2354–2366.</w:t>
      </w:r>
    </w:p>
    <w:p w14:paraId="36E92788" w14:textId="77777777" w:rsidR="00D7081F" w:rsidRDefault="000B526B">
      <w:pPr>
        <w:ind w:left="229" w:right="-15"/>
      </w:pPr>
      <w:r>
        <w:t>Kelly, R., McCann, F., 2016. Some defaults are deeper than others: Understanding long-term mortgage arrears. The Journal of Banking and Finance 72, 15–27.</w:t>
      </w:r>
    </w:p>
    <w:p w14:paraId="299E5337" w14:textId="77777777" w:rsidR="00D7081F" w:rsidRDefault="000B526B">
      <w:pPr>
        <w:ind w:left="229" w:right="-15"/>
      </w:pPr>
      <w:proofErr w:type="spellStart"/>
      <w:r>
        <w:t>Kru¨ger</w:t>
      </w:r>
      <w:proofErr w:type="spellEnd"/>
      <w:r>
        <w:t xml:space="preserve">, S., </w:t>
      </w:r>
      <w:proofErr w:type="spellStart"/>
      <w:r>
        <w:t>R¨osch</w:t>
      </w:r>
      <w:proofErr w:type="spellEnd"/>
      <w:r>
        <w:t>, D., Jun. 2017. Down</w:t>
      </w:r>
      <w:r>
        <w:t xml:space="preserve">turn LGD </w:t>
      </w:r>
      <w:proofErr w:type="spellStart"/>
      <w:r>
        <w:t>modeling</w:t>
      </w:r>
      <w:proofErr w:type="spellEnd"/>
      <w:r>
        <w:t xml:space="preserve"> using quantile regression. Journal of Banking and Finance 79, 42–56.</w:t>
      </w:r>
    </w:p>
    <w:p w14:paraId="39EB3168" w14:textId="77777777" w:rsidR="00D7081F" w:rsidRDefault="000B526B">
      <w:pPr>
        <w:ind w:left="229" w:right="-15"/>
      </w:pPr>
      <w:proofErr w:type="spellStart"/>
      <w:r>
        <w:t>Loterman</w:t>
      </w:r>
      <w:proofErr w:type="spellEnd"/>
      <w:r>
        <w:t xml:space="preserve">, G., Brown, I., Martens, D., </w:t>
      </w:r>
      <w:proofErr w:type="spellStart"/>
      <w:r>
        <w:t>Mues</w:t>
      </w:r>
      <w:proofErr w:type="spellEnd"/>
      <w:r>
        <w:t xml:space="preserve">, C., </w:t>
      </w:r>
      <w:proofErr w:type="spellStart"/>
      <w:r>
        <w:t>Baesens</w:t>
      </w:r>
      <w:proofErr w:type="spellEnd"/>
      <w:r>
        <w:t xml:space="preserve">, B., Dec. 2011. Benchmarking regression algorithms for loss given default </w:t>
      </w:r>
      <w:proofErr w:type="spellStart"/>
      <w:r>
        <w:t>modeling</w:t>
      </w:r>
      <w:proofErr w:type="spellEnd"/>
      <w:r>
        <w:t>. International Journal of Fore</w:t>
      </w:r>
      <w:r>
        <w:t>casting 28 (1), 161–170.</w:t>
      </w:r>
    </w:p>
    <w:p w14:paraId="0ED3471D" w14:textId="77777777" w:rsidR="00D7081F" w:rsidRDefault="000B526B">
      <w:pPr>
        <w:ind w:left="229" w:right="-15"/>
      </w:pPr>
      <w:r>
        <w:t>Qi, M., Yang, X., May 2009. Loss given default of high loan-to-value residential mortgages. Journal of Banking and Finance 33 (5), 788–799.</w:t>
      </w:r>
    </w:p>
    <w:p w14:paraId="5A5BDF54" w14:textId="77777777" w:rsidR="00D7081F" w:rsidRDefault="000B526B">
      <w:pPr>
        <w:ind w:left="229" w:right="-15"/>
      </w:pPr>
      <w:proofErr w:type="spellStart"/>
      <w:r>
        <w:t>Rapisarda</w:t>
      </w:r>
      <w:proofErr w:type="spellEnd"/>
      <w:r>
        <w:t xml:space="preserve">, G., </w:t>
      </w:r>
      <w:proofErr w:type="spellStart"/>
      <w:r>
        <w:t>Echeverry</w:t>
      </w:r>
      <w:proofErr w:type="spellEnd"/>
      <w:r>
        <w:t>, D., Jun. 2013. A nonparametric approach to incorporating incomple</w:t>
      </w:r>
      <w:r>
        <w:t>te workouts into loss given default estimates. The Journal of Credit Risk, 1–16.</w:t>
      </w:r>
    </w:p>
    <w:p w14:paraId="11937169" w14:textId="77777777" w:rsidR="00D7081F" w:rsidRDefault="000B526B">
      <w:pPr>
        <w:ind w:left="229" w:right="-15"/>
      </w:pPr>
      <w:proofErr w:type="spellStart"/>
      <w:r>
        <w:t>Tobback</w:t>
      </w:r>
      <w:proofErr w:type="spellEnd"/>
      <w:r>
        <w:t xml:space="preserve">, E., Martens, D., Van </w:t>
      </w:r>
      <w:proofErr w:type="spellStart"/>
      <w:r>
        <w:t>Gestel</w:t>
      </w:r>
      <w:proofErr w:type="spellEnd"/>
      <w:r>
        <w:t xml:space="preserve">, T., </w:t>
      </w:r>
      <w:proofErr w:type="spellStart"/>
      <w:r>
        <w:t>Baesens</w:t>
      </w:r>
      <w:proofErr w:type="spellEnd"/>
      <w:r>
        <w:t>, B., Jan. 2014. Forecasting Loss Given Default models: impact of account characteristics and the macroeconomic state. Journal</w:t>
      </w:r>
      <w:r>
        <w:t xml:space="preserve"> of the Operational Research Society, 1–17.</w:t>
      </w:r>
    </w:p>
    <w:p w14:paraId="60727F17" w14:textId="77777777" w:rsidR="00D7081F" w:rsidRDefault="000B526B">
      <w:pPr>
        <w:ind w:left="229" w:right="-15"/>
      </w:pPr>
      <w:r>
        <w:t xml:space="preserve">Tong, E. N. C., </w:t>
      </w:r>
      <w:proofErr w:type="spellStart"/>
      <w:r>
        <w:t>Mues</w:t>
      </w:r>
      <w:proofErr w:type="spellEnd"/>
      <w:r>
        <w:t>, C., Thomas, L., Oct. 2014. A zero-adjusted gamma model for mortgage loan loss given default. International Journal of Forecasting 29 (4), 548–562.</w:t>
      </w:r>
    </w:p>
    <w:p w14:paraId="23828D2B" w14:textId="77777777" w:rsidR="00D7081F" w:rsidRDefault="000B526B">
      <w:pPr>
        <w:ind w:left="229" w:right="-15"/>
      </w:pPr>
      <w:r>
        <w:lastRenderedPageBreak/>
        <w:t>Zhang, J., Thomas, L. C., Oct. 2014. Compar</w:t>
      </w:r>
      <w:r>
        <w:t>isons of linear regression and survival analysis using single and mixture distributions approaches in modelling LGD. International Journal of Forecasting 28 (1), 204–215.</w:t>
      </w:r>
    </w:p>
    <w:sectPr w:rsidR="00D7081F">
      <w:footerReference w:type="even" r:id="rId7"/>
      <w:footerReference w:type="default" r:id="rId8"/>
      <w:footerReference w:type="first" r:id="rId9"/>
      <w:pgSz w:w="11906" w:h="16838"/>
      <w:pgMar w:top="2021" w:right="1786" w:bottom="2989" w:left="1786" w:header="720" w:footer="2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3A60C" w14:textId="77777777" w:rsidR="000B526B" w:rsidRDefault="000B526B">
      <w:pPr>
        <w:spacing w:after="0" w:line="240" w:lineRule="auto"/>
      </w:pPr>
      <w:r>
        <w:separator/>
      </w:r>
    </w:p>
  </w:endnote>
  <w:endnote w:type="continuationSeparator" w:id="0">
    <w:p w14:paraId="727DE850" w14:textId="77777777" w:rsidR="000B526B" w:rsidRDefault="000B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03825" w14:textId="77777777" w:rsidR="00D7081F" w:rsidRDefault="000B526B">
    <w:pPr>
      <w:spacing w:after="0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A61DC" w14:textId="77777777" w:rsidR="00D7081F" w:rsidRDefault="000B526B">
    <w:pPr>
      <w:spacing w:after="0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262AC" w14:textId="77777777" w:rsidR="00D7081F" w:rsidRDefault="000B526B">
    <w:pPr>
      <w:spacing w:after="0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8A6C7" w14:textId="77777777" w:rsidR="000B526B" w:rsidRDefault="000B526B">
      <w:pPr>
        <w:spacing w:after="0" w:line="257" w:lineRule="auto"/>
        <w:ind w:left="0" w:right="0" w:firstLine="267"/>
      </w:pPr>
      <w:r>
        <w:separator/>
      </w:r>
    </w:p>
  </w:footnote>
  <w:footnote w:type="continuationSeparator" w:id="0">
    <w:p w14:paraId="0C5D3E80" w14:textId="77777777" w:rsidR="000B526B" w:rsidRDefault="000B526B">
      <w:pPr>
        <w:spacing w:after="0" w:line="257" w:lineRule="auto"/>
        <w:ind w:left="0" w:right="0" w:firstLine="267"/>
      </w:pPr>
      <w:r>
        <w:continuationSeparator/>
      </w:r>
    </w:p>
  </w:footnote>
  <w:footnote w:id="1">
    <w:p w14:paraId="0C6B47D5" w14:textId="77777777" w:rsidR="00D7081F" w:rsidRDefault="000B526B">
      <w:pPr>
        <w:pStyle w:val="footnotedescription"/>
      </w:pPr>
      <w:r>
        <w:rPr>
          <w:rStyle w:val="footnotemark"/>
        </w:rPr>
        <w:footnoteRef/>
      </w:r>
      <w:r>
        <w:t xml:space="preserve"> School of Management, University of Southampton; e-mail: T ‘dot’ Fitzpatrick ‘at’ </w:t>
      </w:r>
      <w:proofErr w:type="spellStart"/>
      <w:r>
        <w:t>soton</w:t>
      </w:r>
      <w:proofErr w:type="spellEnd"/>
      <w:r>
        <w:t xml:space="preserve"> ‘dot’ ac ‘dot’ </w:t>
      </w:r>
      <w:proofErr w:type="spellStart"/>
      <w:r>
        <w:t>uk</w:t>
      </w:r>
      <w:proofErr w:type="spellEnd"/>
      <w:r>
        <w:t xml:space="preserve">. The views expressed in the paper are those of the author and do not represent the views </w:t>
      </w:r>
      <w:r>
        <w:t>of the Central Bank of Ireland, the Single Supervisory Mechanism/European Central Bank.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D202A"/>
    <w:multiLevelType w:val="hybridMultilevel"/>
    <w:tmpl w:val="2B3290FE"/>
    <w:lvl w:ilvl="0" w:tplc="CA6E5F12">
      <w:start w:val="1"/>
      <w:numFmt w:val="decimal"/>
      <w:pStyle w:val="Heading1"/>
      <w:lvlText w:val="%1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4A2E82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13E5F6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6A4B47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49CB33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00C606F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6020F2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9008F4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393ADA3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1F"/>
    <w:rsid w:val="000B526B"/>
    <w:rsid w:val="00D7081F"/>
    <w:rsid w:val="00D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DFC5"/>
  <w15:docId w15:val="{CE0320F1-2E44-4F85-BC7C-620E92AB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8"/>
      <w:ind w:left="829" w:right="585" w:hanging="244"/>
      <w:jc w:val="both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48"/>
      <w:ind w:left="10" w:hanging="10"/>
      <w:outlineLvl w:val="0"/>
    </w:pPr>
    <w:rPr>
      <w:rFonts w:ascii="Cambria" w:eastAsia="Cambria" w:hAnsi="Cambria" w:cs="Cambria"/>
      <w:b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7" w:lineRule="auto"/>
      <w:ind w:firstLine="267"/>
      <w:jc w:val="both"/>
    </w:pPr>
    <w:rPr>
      <w:rFonts w:ascii="Cambria" w:eastAsia="Cambria" w:hAnsi="Cambria" w:cs="Cambria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mbria" w:eastAsia="Cambria" w:hAnsi="Cambria" w:cs="Cambria"/>
      <w:color w:val="000000"/>
      <w:sz w:val="20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34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D654614E-119C-4486-854C-5A4CE9CDE278}"/>
</file>

<file path=customXml/itemProps2.xml><?xml version="1.0" encoding="utf-8"?>
<ds:datastoreItem xmlns:ds="http://schemas.openxmlformats.org/officeDocument/2006/customXml" ds:itemID="{A2CDE968-DE48-4C31-9FBC-3BF1108D83F1}"/>
</file>

<file path=customXml/itemProps3.xml><?xml version="1.0" encoding="utf-8"?>
<ds:datastoreItem xmlns:ds="http://schemas.openxmlformats.org/officeDocument/2006/customXml" ds:itemID="{2ECD7D2D-06D3-4D9D-9858-2A8704AF5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cp:lastModifiedBy>Jen</cp:lastModifiedBy>
  <cp:revision>2</cp:revision>
  <dcterms:created xsi:type="dcterms:W3CDTF">2020-10-28T10:24:00Z</dcterms:created>
  <dcterms:modified xsi:type="dcterms:W3CDTF">2020-10-28T10:24:00Z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