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7EB63B" w14:textId="77777777" w:rsidR="0047339C" w:rsidRDefault="00656099">
      <w:pPr>
        <w:spacing w:line="259" w:lineRule="auto"/>
        <w:ind w:left="998" w:right="0" w:firstLine="0"/>
        <w:jc w:val="left"/>
      </w:pPr>
      <w:r>
        <w:rPr>
          <w:sz w:val="41"/>
        </w:rPr>
        <w:t>Towards Understanding and Predicting</w:t>
      </w:r>
    </w:p>
    <w:tbl>
      <w:tblPr>
        <w:tblStyle w:val="TableGrid"/>
        <w:tblW w:w="8310" w:type="dxa"/>
        <w:tblInd w:w="239" w:type="dxa"/>
        <w:tblCellMar>
          <w:top w:w="0" w:type="dxa"/>
          <w:left w:w="0" w:type="dxa"/>
          <w:bottom w:w="0" w:type="dxa"/>
          <w:right w:w="0" w:type="dxa"/>
        </w:tblCellMar>
        <w:tblLook w:val="04A0" w:firstRow="1" w:lastRow="0" w:firstColumn="1" w:lastColumn="0" w:noHBand="0" w:noVBand="1"/>
      </w:tblPr>
      <w:tblGrid>
        <w:gridCol w:w="2071"/>
        <w:gridCol w:w="4300"/>
        <w:gridCol w:w="1939"/>
      </w:tblGrid>
      <w:tr w:rsidR="0047339C" w14:paraId="1FBFE2FA" w14:textId="77777777">
        <w:trPr>
          <w:trHeight w:val="594"/>
        </w:trPr>
        <w:tc>
          <w:tcPr>
            <w:tcW w:w="2071" w:type="dxa"/>
            <w:tcBorders>
              <w:top w:val="nil"/>
              <w:left w:val="nil"/>
              <w:bottom w:val="nil"/>
              <w:right w:val="nil"/>
            </w:tcBorders>
          </w:tcPr>
          <w:p w14:paraId="182199A0" w14:textId="77777777" w:rsidR="0047339C" w:rsidRDefault="0047339C">
            <w:pPr>
              <w:spacing w:after="160" w:line="259" w:lineRule="auto"/>
              <w:ind w:left="0" w:right="0" w:firstLine="0"/>
              <w:jc w:val="left"/>
            </w:pPr>
          </w:p>
        </w:tc>
        <w:tc>
          <w:tcPr>
            <w:tcW w:w="4300" w:type="dxa"/>
            <w:tcBorders>
              <w:top w:val="nil"/>
              <w:left w:val="nil"/>
              <w:bottom w:val="nil"/>
              <w:right w:val="nil"/>
            </w:tcBorders>
          </w:tcPr>
          <w:p w14:paraId="5C0F5EB3" w14:textId="77777777" w:rsidR="0047339C" w:rsidRDefault="00656099">
            <w:pPr>
              <w:spacing w:line="259" w:lineRule="auto"/>
              <w:ind w:left="30" w:right="0" w:firstLine="0"/>
              <w:jc w:val="left"/>
            </w:pPr>
            <w:r>
              <w:rPr>
                <w:sz w:val="41"/>
              </w:rPr>
              <w:t>Distributional Changes</w:t>
            </w:r>
          </w:p>
        </w:tc>
        <w:tc>
          <w:tcPr>
            <w:tcW w:w="1939" w:type="dxa"/>
            <w:tcBorders>
              <w:top w:val="nil"/>
              <w:left w:val="nil"/>
              <w:bottom w:val="nil"/>
              <w:right w:val="nil"/>
            </w:tcBorders>
          </w:tcPr>
          <w:p w14:paraId="54B0DA9F" w14:textId="77777777" w:rsidR="0047339C" w:rsidRDefault="0047339C">
            <w:pPr>
              <w:spacing w:after="160" w:line="259" w:lineRule="auto"/>
              <w:ind w:left="0" w:right="0" w:firstLine="0"/>
              <w:jc w:val="left"/>
            </w:pPr>
          </w:p>
        </w:tc>
      </w:tr>
      <w:tr w:rsidR="0047339C" w14:paraId="1976AD08" w14:textId="77777777">
        <w:trPr>
          <w:trHeight w:val="566"/>
        </w:trPr>
        <w:tc>
          <w:tcPr>
            <w:tcW w:w="2071" w:type="dxa"/>
            <w:tcBorders>
              <w:top w:val="nil"/>
              <w:left w:val="nil"/>
              <w:bottom w:val="nil"/>
              <w:right w:val="nil"/>
            </w:tcBorders>
            <w:vAlign w:val="bottom"/>
          </w:tcPr>
          <w:p w14:paraId="1F7342CD" w14:textId="77777777" w:rsidR="0047339C" w:rsidRDefault="00656099">
            <w:pPr>
              <w:spacing w:line="259" w:lineRule="auto"/>
              <w:ind w:left="21" w:right="0" w:firstLine="0"/>
              <w:jc w:val="left"/>
            </w:pPr>
            <w:r>
              <w:rPr>
                <w:b/>
                <w:sz w:val="24"/>
              </w:rPr>
              <w:t xml:space="preserve">Georg </w:t>
            </w:r>
            <w:proofErr w:type="spellStart"/>
            <w:r>
              <w:rPr>
                <w:b/>
                <w:sz w:val="24"/>
              </w:rPr>
              <w:t>Krempl</w:t>
            </w:r>
            <w:proofErr w:type="spellEnd"/>
            <w:r>
              <w:rPr>
                <w:sz w:val="24"/>
                <w:vertAlign w:val="superscript"/>
              </w:rPr>
              <w:t>∗</w:t>
            </w:r>
          </w:p>
        </w:tc>
        <w:tc>
          <w:tcPr>
            <w:tcW w:w="4300" w:type="dxa"/>
            <w:tcBorders>
              <w:top w:val="nil"/>
              <w:left w:val="nil"/>
              <w:bottom w:val="nil"/>
              <w:right w:val="nil"/>
            </w:tcBorders>
            <w:vAlign w:val="bottom"/>
          </w:tcPr>
          <w:p w14:paraId="23D66BDF" w14:textId="77777777" w:rsidR="0047339C" w:rsidRDefault="00656099">
            <w:pPr>
              <w:tabs>
                <w:tab w:val="center" w:pos="3120"/>
              </w:tabs>
              <w:spacing w:line="259" w:lineRule="auto"/>
              <w:ind w:left="0" w:right="0" w:firstLine="0"/>
              <w:jc w:val="left"/>
            </w:pPr>
            <w:r>
              <w:rPr>
                <w:b/>
                <w:sz w:val="24"/>
              </w:rPr>
              <w:t>Dominik Lang</w:t>
            </w:r>
            <w:r>
              <w:rPr>
                <w:b/>
                <w:sz w:val="24"/>
              </w:rPr>
              <w:tab/>
              <w:t>Vera Hofer</w:t>
            </w:r>
          </w:p>
        </w:tc>
        <w:tc>
          <w:tcPr>
            <w:tcW w:w="1939" w:type="dxa"/>
            <w:tcBorders>
              <w:top w:val="nil"/>
              <w:left w:val="nil"/>
              <w:bottom w:val="nil"/>
              <w:right w:val="nil"/>
            </w:tcBorders>
            <w:vAlign w:val="bottom"/>
          </w:tcPr>
          <w:p w14:paraId="73F502BB" w14:textId="77777777" w:rsidR="0047339C" w:rsidRDefault="00656099">
            <w:pPr>
              <w:spacing w:line="259" w:lineRule="auto"/>
              <w:ind w:left="0" w:right="0" w:firstLine="0"/>
            </w:pPr>
            <w:r>
              <w:rPr>
                <w:b/>
                <w:sz w:val="24"/>
              </w:rPr>
              <w:t xml:space="preserve">Katarzyna </w:t>
            </w:r>
            <w:proofErr w:type="spellStart"/>
            <w:r>
              <w:rPr>
                <w:b/>
                <w:sz w:val="24"/>
              </w:rPr>
              <w:t>Bijak</w:t>
            </w:r>
            <w:proofErr w:type="spellEnd"/>
          </w:p>
        </w:tc>
      </w:tr>
      <w:tr w:rsidR="0047339C" w14:paraId="754478EB" w14:textId="77777777">
        <w:trPr>
          <w:trHeight w:val="295"/>
        </w:trPr>
        <w:tc>
          <w:tcPr>
            <w:tcW w:w="2071" w:type="dxa"/>
            <w:tcBorders>
              <w:top w:val="nil"/>
              <w:left w:val="nil"/>
              <w:bottom w:val="nil"/>
              <w:right w:val="nil"/>
            </w:tcBorders>
          </w:tcPr>
          <w:p w14:paraId="78D8D15D" w14:textId="77777777" w:rsidR="0047339C" w:rsidRDefault="00656099">
            <w:pPr>
              <w:spacing w:line="259" w:lineRule="auto"/>
              <w:ind w:left="107" w:right="0" w:firstLine="0"/>
              <w:jc w:val="left"/>
            </w:pPr>
            <w:r>
              <w:rPr>
                <w:sz w:val="20"/>
              </w:rPr>
              <w:t>Utrecht University</w:t>
            </w:r>
          </w:p>
        </w:tc>
        <w:tc>
          <w:tcPr>
            <w:tcW w:w="4300" w:type="dxa"/>
            <w:tcBorders>
              <w:top w:val="nil"/>
              <w:left w:val="nil"/>
              <w:bottom w:val="nil"/>
              <w:right w:val="nil"/>
            </w:tcBorders>
          </w:tcPr>
          <w:p w14:paraId="30E4C53D" w14:textId="77777777" w:rsidR="0047339C" w:rsidRDefault="00656099">
            <w:pPr>
              <w:tabs>
                <w:tab w:val="center" w:pos="3120"/>
              </w:tabs>
              <w:spacing w:line="259" w:lineRule="auto"/>
              <w:ind w:left="0" w:right="0" w:firstLine="0"/>
              <w:jc w:val="left"/>
            </w:pPr>
            <w:r>
              <w:rPr>
                <w:sz w:val="20"/>
              </w:rPr>
              <w:t>Magdeburg University</w:t>
            </w:r>
            <w:r>
              <w:rPr>
                <w:sz w:val="20"/>
              </w:rPr>
              <w:tab/>
              <w:t>Graz University</w:t>
            </w:r>
          </w:p>
        </w:tc>
        <w:tc>
          <w:tcPr>
            <w:tcW w:w="1939" w:type="dxa"/>
            <w:tcBorders>
              <w:top w:val="nil"/>
              <w:left w:val="nil"/>
              <w:bottom w:val="nil"/>
              <w:right w:val="nil"/>
            </w:tcBorders>
          </w:tcPr>
          <w:p w14:paraId="536F70BA" w14:textId="77777777" w:rsidR="0047339C" w:rsidRDefault="00656099">
            <w:pPr>
              <w:spacing w:line="259" w:lineRule="auto"/>
              <w:ind w:left="78" w:right="0" w:firstLine="0"/>
              <w:jc w:val="center"/>
            </w:pPr>
            <w:r>
              <w:rPr>
                <w:sz w:val="20"/>
              </w:rPr>
              <w:t>University of</w:t>
            </w:r>
          </w:p>
        </w:tc>
      </w:tr>
      <w:tr w:rsidR="0047339C" w14:paraId="678C2BB1" w14:textId="77777777">
        <w:trPr>
          <w:trHeight w:val="239"/>
        </w:trPr>
        <w:tc>
          <w:tcPr>
            <w:tcW w:w="2071" w:type="dxa"/>
            <w:tcBorders>
              <w:top w:val="nil"/>
              <w:left w:val="nil"/>
              <w:bottom w:val="nil"/>
              <w:right w:val="nil"/>
            </w:tcBorders>
          </w:tcPr>
          <w:p w14:paraId="5EDFB80B" w14:textId="77777777" w:rsidR="0047339C" w:rsidRDefault="00656099">
            <w:pPr>
              <w:spacing w:line="259" w:lineRule="auto"/>
              <w:ind w:left="114" w:right="0" w:firstLine="0"/>
              <w:jc w:val="left"/>
            </w:pPr>
            <w:r>
              <w:rPr>
                <w:sz w:val="20"/>
              </w:rPr>
              <w:t>Dept. Information</w:t>
            </w:r>
          </w:p>
        </w:tc>
        <w:tc>
          <w:tcPr>
            <w:tcW w:w="4300" w:type="dxa"/>
            <w:tcBorders>
              <w:top w:val="nil"/>
              <w:left w:val="nil"/>
              <w:bottom w:val="nil"/>
              <w:right w:val="nil"/>
            </w:tcBorders>
          </w:tcPr>
          <w:p w14:paraId="47A474C2" w14:textId="77777777" w:rsidR="0047339C" w:rsidRDefault="00656099">
            <w:pPr>
              <w:tabs>
                <w:tab w:val="center" w:pos="970"/>
                <w:tab w:val="center" w:pos="3120"/>
              </w:tabs>
              <w:spacing w:line="259" w:lineRule="auto"/>
              <w:ind w:left="0" w:right="0" w:firstLine="0"/>
              <w:jc w:val="left"/>
            </w:pPr>
            <w:r>
              <w:rPr>
                <w:rFonts w:ascii="Calibri" w:eastAsia="Calibri" w:hAnsi="Calibri" w:cs="Calibri"/>
              </w:rPr>
              <w:tab/>
            </w:r>
            <w:r>
              <w:rPr>
                <w:sz w:val="20"/>
              </w:rPr>
              <w:t>Faculty of</w:t>
            </w:r>
            <w:r>
              <w:rPr>
                <w:sz w:val="20"/>
              </w:rPr>
              <w:tab/>
              <w:t>Dept. of Statistics &amp;</w:t>
            </w:r>
          </w:p>
        </w:tc>
        <w:tc>
          <w:tcPr>
            <w:tcW w:w="1939" w:type="dxa"/>
            <w:tcBorders>
              <w:top w:val="nil"/>
              <w:left w:val="nil"/>
              <w:bottom w:val="nil"/>
              <w:right w:val="nil"/>
            </w:tcBorders>
          </w:tcPr>
          <w:p w14:paraId="0B200C7F" w14:textId="77777777" w:rsidR="0047339C" w:rsidRDefault="00656099">
            <w:pPr>
              <w:spacing w:line="259" w:lineRule="auto"/>
              <w:ind w:left="78" w:right="0" w:firstLine="0"/>
              <w:jc w:val="center"/>
            </w:pPr>
            <w:r>
              <w:rPr>
                <w:sz w:val="20"/>
              </w:rPr>
              <w:t>Southampton</w:t>
            </w:r>
          </w:p>
        </w:tc>
      </w:tr>
      <w:tr w:rsidR="0047339C" w14:paraId="71B537C3" w14:textId="77777777">
        <w:trPr>
          <w:trHeight w:val="239"/>
        </w:trPr>
        <w:tc>
          <w:tcPr>
            <w:tcW w:w="2071" w:type="dxa"/>
            <w:tcBorders>
              <w:top w:val="nil"/>
              <w:left w:val="nil"/>
              <w:bottom w:val="nil"/>
              <w:right w:val="nil"/>
            </w:tcBorders>
          </w:tcPr>
          <w:p w14:paraId="0775110D" w14:textId="77777777" w:rsidR="0047339C" w:rsidRDefault="00656099">
            <w:pPr>
              <w:spacing w:line="259" w:lineRule="auto"/>
              <w:ind w:left="158" w:right="0" w:firstLine="0"/>
              <w:jc w:val="left"/>
            </w:pPr>
            <w:r>
              <w:rPr>
                <w:sz w:val="20"/>
              </w:rPr>
              <w:t>&amp; Computing Sc.</w:t>
            </w:r>
          </w:p>
        </w:tc>
        <w:tc>
          <w:tcPr>
            <w:tcW w:w="4300" w:type="dxa"/>
            <w:tcBorders>
              <w:top w:val="nil"/>
              <w:left w:val="nil"/>
              <w:bottom w:val="nil"/>
              <w:right w:val="nil"/>
            </w:tcBorders>
          </w:tcPr>
          <w:p w14:paraId="311BDAD8" w14:textId="77777777" w:rsidR="0047339C" w:rsidRDefault="00656099">
            <w:pPr>
              <w:tabs>
                <w:tab w:val="center" w:pos="3120"/>
              </w:tabs>
              <w:spacing w:line="259" w:lineRule="auto"/>
              <w:ind w:left="0" w:right="0" w:firstLine="0"/>
              <w:jc w:val="left"/>
            </w:pPr>
            <w:r>
              <w:rPr>
                <w:sz w:val="20"/>
              </w:rPr>
              <w:t>Computer Science</w:t>
            </w:r>
            <w:r>
              <w:rPr>
                <w:sz w:val="20"/>
              </w:rPr>
              <w:tab/>
              <w:t>Operations Research</w:t>
            </w:r>
          </w:p>
        </w:tc>
        <w:tc>
          <w:tcPr>
            <w:tcW w:w="1939" w:type="dxa"/>
            <w:tcBorders>
              <w:top w:val="nil"/>
              <w:left w:val="nil"/>
              <w:bottom w:val="nil"/>
              <w:right w:val="nil"/>
            </w:tcBorders>
          </w:tcPr>
          <w:p w14:paraId="14A75003" w14:textId="77777777" w:rsidR="0047339C" w:rsidRDefault="00656099">
            <w:pPr>
              <w:spacing w:line="259" w:lineRule="auto"/>
              <w:ind w:left="78" w:right="0" w:firstLine="0"/>
              <w:jc w:val="center"/>
            </w:pPr>
            <w:r>
              <w:rPr>
                <w:sz w:val="20"/>
              </w:rPr>
              <w:t>Business School</w:t>
            </w:r>
          </w:p>
        </w:tc>
      </w:tr>
      <w:tr w:rsidR="0047339C" w14:paraId="57747BC3" w14:textId="77777777">
        <w:trPr>
          <w:trHeight w:val="239"/>
        </w:trPr>
        <w:tc>
          <w:tcPr>
            <w:tcW w:w="2071" w:type="dxa"/>
            <w:tcBorders>
              <w:top w:val="nil"/>
              <w:left w:val="nil"/>
              <w:bottom w:val="nil"/>
              <w:right w:val="nil"/>
            </w:tcBorders>
          </w:tcPr>
          <w:p w14:paraId="50292847" w14:textId="77777777" w:rsidR="0047339C" w:rsidRDefault="00656099">
            <w:pPr>
              <w:spacing w:line="259" w:lineRule="auto"/>
              <w:ind w:left="200" w:right="0" w:firstLine="0"/>
              <w:jc w:val="left"/>
            </w:pPr>
            <w:proofErr w:type="spellStart"/>
            <w:r>
              <w:rPr>
                <w:sz w:val="20"/>
              </w:rPr>
              <w:t>Princetonplein</w:t>
            </w:r>
            <w:proofErr w:type="spellEnd"/>
            <w:r>
              <w:rPr>
                <w:sz w:val="20"/>
              </w:rPr>
              <w:t xml:space="preserve"> 5</w:t>
            </w:r>
          </w:p>
        </w:tc>
        <w:tc>
          <w:tcPr>
            <w:tcW w:w="4300" w:type="dxa"/>
            <w:tcBorders>
              <w:top w:val="nil"/>
              <w:left w:val="nil"/>
              <w:bottom w:val="nil"/>
              <w:right w:val="nil"/>
            </w:tcBorders>
          </w:tcPr>
          <w:p w14:paraId="55FB101F" w14:textId="77777777" w:rsidR="0047339C" w:rsidRDefault="00656099">
            <w:pPr>
              <w:tabs>
                <w:tab w:val="center" w:pos="970"/>
                <w:tab w:val="center" w:pos="3120"/>
              </w:tabs>
              <w:spacing w:line="259" w:lineRule="auto"/>
              <w:ind w:left="0" w:right="0" w:firstLine="0"/>
              <w:jc w:val="left"/>
            </w:pPr>
            <w:r>
              <w:rPr>
                <w:rFonts w:ascii="Calibri" w:eastAsia="Calibri" w:hAnsi="Calibri" w:cs="Calibri"/>
              </w:rPr>
              <w:tab/>
            </w:r>
            <w:proofErr w:type="spellStart"/>
            <w:r>
              <w:rPr>
                <w:sz w:val="20"/>
              </w:rPr>
              <w:t>Universit¨atspl</w:t>
            </w:r>
            <w:proofErr w:type="spellEnd"/>
            <w:r>
              <w:rPr>
                <w:sz w:val="20"/>
              </w:rPr>
              <w:t>. 2</w:t>
            </w:r>
            <w:r>
              <w:rPr>
                <w:sz w:val="20"/>
              </w:rPr>
              <w:tab/>
            </w:r>
            <w:proofErr w:type="spellStart"/>
            <w:r>
              <w:rPr>
                <w:sz w:val="20"/>
              </w:rPr>
              <w:t>Universit¨atsst</w:t>
            </w:r>
            <w:proofErr w:type="spellEnd"/>
            <w:r>
              <w:rPr>
                <w:sz w:val="20"/>
              </w:rPr>
              <w:t>. 15/E3</w:t>
            </w:r>
          </w:p>
        </w:tc>
        <w:tc>
          <w:tcPr>
            <w:tcW w:w="1939" w:type="dxa"/>
            <w:tcBorders>
              <w:top w:val="nil"/>
              <w:left w:val="nil"/>
              <w:bottom w:val="nil"/>
              <w:right w:val="nil"/>
            </w:tcBorders>
          </w:tcPr>
          <w:p w14:paraId="1BA6576C" w14:textId="77777777" w:rsidR="0047339C" w:rsidRDefault="00656099">
            <w:pPr>
              <w:spacing w:line="259" w:lineRule="auto"/>
              <w:ind w:left="78" w:right="0" w:firstLine="0"/>
              <w:jc w:val="center"/>
            </w:pPr>
            <w:r>
              <w:rPr>
                <w:sz w:val="20"/>
              </w:rPr>
              <w:t>Highfield</w:t>
            </w:r>
          </w:p>
        </w:tc>
      </w:tr>
      <w:tr w:rsidR="0047339C" w14:paraId="5A6D4AB0" w14:textId="77777777">
        <w:trPr>
          <w:trHeight w:val="239"/>
        </w:trPr>
        <w:tc>
          <w:tcPr>
            <w:tcW w:w="2071" w:type="dxa"/>
            <w:tcBorders>
              <w:top w:val="nil"/>
              <w:left w:val="nil"/>
              <w:bottom w:val="nil"/>
              <w:right w:val="nil"/>
            </w:tcBorders>
          </w:tcPr>
          <w:p w14:paraId="2ABCC427" w14:textId="77777777" w:rsidR="0047339C" w:rsidRDefault="00656099">
            <w:pPr>
              <w:spacing w:line="259" w:lineRule="auto"/>
              <w:ind w:left="177" w:right="0" w:firstLine="0"/>
              <w:jc w:val="left"/>
            </w:pPr>
            <w:r>
              <w:rPr>
                <w:sz w:val="20"/>
              </w:rPr>
              <w:t>3584 CC Utrecht</w:t>
            </w:r>
          </w:p>
        </w:tc>
        <w:tc>
          <w:tcPr>
            <w:tcW w:w="4300" w:type="dxa"/>
            <w:tcBorders>
              <w:top w:val="nil"/>
              <w:left w:val="nil"/>
              <w:bottom w:val="nil"/>
              <w:right w:val="nil"/>
            </w:tcBorders>
          </w:tcPr>
          <w:p w14:paraId="26BDDD9E" w14:textId="77777777" w:rsidR="0047339C" w:rsidRDefault="00656099">
            <w:pPr>
              <w:tabs>
                <w:tab w:val="center" w:pos="3120"/>
              </w:tabs>
              <w:spacing w:line="259" w:lineRule="auto"/>
              <w:ind w:left="0" w:right="0" w:firstLine="0"/>
              <w:jc w:val="left"/>
            </w:pPr>
            <w:r>
              <w:rPr>
                <w:sz w:val="20"/>
              </w:rPr>
              <w:t>39106 Magdeburg</w:t>
            </w:r>
            <w:r>
              <w:rPr>
                <w:sz w:val="20"/>
              </w:rPr>
              <w:tab/>
              <w:t>8010 Graz</w:t>
            </w:r>
          </w:p>
        </w:tc>
        <w:tc>
          <w:tcPr>
            <w:tcW w:w="1939" w:type="dxa"/>
            <w:tcBorders>
              <w:top w:val="nil"/>
              <w:left w:val="nil"/>
              <w:bottom w:val="nil"/>
              <w:right w:val="nil"/>
            </w:tcBorders>
          </w:tcPr>
          <w:p w14:paraId="5CEBBAE2" w14:textId="77777777" w:rsidR="0047339C" w:rsidRDefault="00656099">
            <w:pPr>
              <w:spacing w:line="259" w:lineRule="auto"/>
              <w:ind w:left="78" w:right="0" w:firstLine="0"/>
              <w:jc w:val="center"/>
            </w:pPr>
            <w:r>
              <w:rPr>
                <w:sz w:val="20"/>
              </w:rPr>
              <w:t>SO17 1BJ</w:t>
            </w:r>
          </w:p>
        </w:tc>
      </w:tr>
      <w:tr w:rsidR="0047339C" w14:paraId="7ED55E67" w14:textId="77777777">
        <w:trPr>
          <w:trHeight w:val="1304"/>
        </w:trPr>
        <w:tc>
          <w:tcPr>
            <w:tcW w:w="2071" w:type="dxa"/>
            <w:tcBorders>
              <w:top w:val="nil"/>
              <w:left w:val="nil"/>
              <w:bottom w:val="nil"/>
              <w:right w:val="nil"/>
            </w:tcBorders>
          </w:tcPr>
          <w:p w14:paraId="2DD732EE" w14:textId="77777777" w:rsidR="0047339C" w:rsidRDefault="00656099">
            <w:pPr>
              <w:spacing w:line="259" w:lineRule="auto"/>
              <w:ind w:left="187" w:right="0" w:firstLine="0"/>
              <w:jc w:val="left"/>
            </w:pPr>
            <w:r>
              <w:rPr>
                <w:sz w:val="20"/>
              </w:rPr>
              <w:t>The Netherlands</w:t>
            </w:r>
          </w:p>
          <w:p w14:paraId="33C9AB01" w14:textId="77777777" w:rsidR="0047339C" w:rsidRDefault="00656099">
            <w:pPr>
              <w:spacing w:line="259" w:lineRule="auto"/>
              <w:ind w:left="0" w:right="0" w:firstLine="0"/>
              <w:jc w:val="left"/>
            </w:pPr>
            <w:r>
              <w:rPr>
                <w:sz w:val="14"/>
              </w:rPr>
              <w:t>∗</w:t>
            </w:r>
          </w:p>
          <w:p w14:paraId="5AB21755" w14:textId="77777777" w:rsidR="0047339C" w:rsidRDefault="00656099">
            <w:pPr>
              <w:spacing w:line="259" w:lineRule="auto"/>
              <w:ind w:left="158" w:right="0" w:firstLine="0"/>
              <w:jc w:val="left"/>
            </w:pPr>
            <w:r>
              <w:rPr>
                <w:rFonts w:ascii="Calibri" w:eastAsia="Calibri" w:hAnsi="Calibri" w:cs="Calibri"/>
                <w:sz w:val="20"/>
              </w:rPr>
              <w:t>g.m.krempl@uu.nl</w:t>
            </w:r>
          </w:p>
        </w:tc>
        <w:tc>
          <w:tcPr>
            <w:tcW w:w="4300" w:type="dxa"/>
            <w:tcBorders>
              <w:top w:val="nil"/>
              <w:left w:val="nil"/>
              <w:bottom w:val="nil"/>
              <w:right w:val="nil"/>
            </w:tcBorders>
          </w:tcPr>
          <w:p w14:paraId="7D360D23" w14:textId="77777777" w:rsidR="0047339C" w:rsidRDefault="00656099">
            <w:pPr>
              <w:tabs>
                <w:tab w:val="center" w:pos="970"/>
                <w:tab w:val="center" w:pos="3120"/>
              </w:tabs>
              <w:spacing w:after="848" w:line="259" w:lineRule="auto"/>
              <w:ind w:left="0" w:right="0" w:firstLine="0"/>
              <w:jc w:val="left"/>
            </w:pPr>
            <w:r>
              <w:rPr>
                <w:rFonts w:ascii="Calibri" w:eastAsia="Calibri" w:hAnsi="Calibri" w:cs="Calibri"/>
              </w:rPr>
              <w:tab/>
            </w:r>
            <w:r>
              <w:rPr>
                <w:sz w:val="20"/>
              </w:rPr>
              <w:t>Germany</w:t>
            </w:r>
            <w:r>
              <w:rPr>
                <w:sz w:val="20"/>
              </w:rPr>
              <w:tab/>
              <w:t>Austria</w:t>
            </w:r>
          </w:p>
          <w:p w14:paraId="1DA3022F" w14:textId="77777777" w:rsidR="0047339C" w:rsidRDefault="00656099">
            <w:pPr>
              <w:spacing w:line="259" w:lineRule="auto"/>
              <w:ind w:left="0" w:right="417" w:firstLine="0"/>
              <w:jc w:val="center"/>
            </w:pPr>
            <w:r>
              <w:rPr>
                <w:b/>
              </w:rPr>
              <w:t>Abstract</w:t>
            </w:r>
          </w:p>
        </w:tc>
        <w:tc>
          <w:tcPr>
            <w:tcW w:w="1939" w:type="dxa"/>
            <w:tcBorders>
              <w:top w:val="nil"/>
              <w:left w:val="nil"/>
              <w:bottom w:val="nil"/>
              <w:right w:val="nil"/>
            </w:tcBorders>
          </w:tcPr>
          <w:p w14:paraId="11979254" w14:textId="77777777" w:rsidR="0047339C" w:rsidRDefault="00656099">
            <w:pPr>
              <w:spacing w:line="259" w:lineRule="auto"/>
              <w:ind w:left="78" w:right="0" w:firstLine="0"/>
              <w:jc w:val="center"/>
            </w:pPr>
            <w:r>
              <w:rPr>
                <w:sz w:val="20"/>
              </w:rPr>
              <w:t>United Kingdom</w:t>
            </w:r>
          </w:p>
        </w:tc>
      </w:tr>
    </w:tbl>
    <w:p w14:paraId="5A9396F8" w14:textId="77777777" w:rsidR="0047339C" w:rsidRDefault="00656099">
      <w:pPr>
        <w:ind w:left="570" w:right="570"/>
      </w:pPr>
      <w:r>
        <w:t>An important foundation for credit scoring, as for statistics and machine learning in general, is making inference about future sample values from analysing historical training samples of data. However, distributions are often not stationary but change ove</w:t>
      </w:r>
      <w:r>
        <w:t xml:space="preserve">r time, for example due to changing economic conditions [Kelly et al., 1999, </w:t>
      </w:r>
      <w:proofErr w:type="spellStart"/>
      <w:r>
        <w:t>Zliobaite</w:t>
      </w:r>
      <w:proofErr w:type="spellEnd"/>
      <w:r>
        <w:t xml:space="preserve"> et al., 2016]. In recent years, techniques have been developed to update prediction models on streams of data, either continuously or upon detection of change [Gama et a</w:t>
      </w:r>
      <w:r>
        <w:t>l., 2014]. While most techniques rely on new labelled data, a few approaches have been proposed that aim to exploit patterns in the distributional change to update prediction models [</w:t>
      </w:r>
      <w:proofErr w:type="spellStart"/>
      <w:r>
        <w:t>Plasse</w:t>
      </w:r>
      <w:proofErr w:type="spellEnd"/>
      <w:r>
        <w:t xml:space="preserve"> and Adams, 2016, </w:t>
      </w:r>
      <w:proofErr w:type="spellStart"/>
      <w:r>
        <w:t>Tasche</w:t>
      </w:r>
      <w:proofErr w:type="spellEnd"/>
      <w:r>
        <w:t xml:space="preserve">, 2014, Dyer et al., 2014], and [Hofer and </w:t>
      </w:r>
      <w:proofErr w:type="spellStart"/>
      <w:r>
        <w:t>Krempl</w:t>
      </w:r>
      <w:proofErr w:type="spellEnd"/>
      <w:r>
        <w:t>, 2013], [</w:t>
      </w:r>
      <w:proofErr w:type="spellStart"/>
      <w:r>
        <w:t>Krempl</w:t>
      </w:r>
      <w:proofErr w:type="spellEnd"/>
      <w:r>
        <w:t>, 2011]. However, an important step towards reliable adaptive prediction techniques is to better understand and model changes in distributions over time.</w:t>
      </w:r>
    </w:p>
    <w:p w14:paraId="6B13842E" w14:textId="77777777" w:rsidR="0047339C" w:rsidRDefault="00656099">
      <w:pPr>
        <w:ind w:left="570" w:right="570"/>
      </w:pPr>
      <w:r>
        <w:t>In this work, we present the Temporal Density Extrapolation approach for this ta</w:t>
      </w:r>
      <w:r>
        <w:t xml:space="preserve">sk. This novel method models and predicts gradual monotonous changes in a distribution. It is based on the expansion of </w:t>
      </w:r>
      <w:proofErr w:type="spellStart"/>
      <w:r>
        <w:t>basis</w:t>
      </w:r>
      <w:proofErr w:type="spellEnd"/>
      <w:r>
        <w:t xml:space="preserve"> functions. The weights of these basis functions are modelled as functions of compositional data over time by using an isometric lo</w:t>
      </w:r>
      <w:r>
        <w:t xml:space="preserve">g-ratio transformation. To obtain extrapolated density estimates, the weights are extrapolated to the requested time point, and the density is queried from the </w:t>
      </w:r>
      <w:proofErr w:type="spellStart"/>
      <w:r>
        <w:t>basis</w:t>
      </w:r>
      <w:proofErr w:type="spellEnd"/>
      <w:r>
        <w:t xml:space="preserve"> functions with </w:t>
      </w:r>
      <w:proofErr w:type="spellStart"/>
      <w:r>
        <w:t>backtransformed</w:t>
      </w:r>
      <w:proofErr w:type="spellEnd"/>
      <w:r>
        <w:t xml:space="preserve"> weights. This approach is designed for broad applicability </w:t>
      </w:r>
      <w:r>
        <w:t xml:space="preserve">by neither being restricted to a specific parametric distribution, nor relying on cluster structure in the data. It requires only two additional </w:t>
      </w:r>
      <w:proofErr w:type="spellStart"/>
      <w:r>
        <w:t>extrapolationspecific</w:t>
      </w:r>
      <w:proofErr w:type="spellEnd"/>
      <w:r>
        <w:t xml:space="preserve"> parameters, for which reasonable defaults exist.</w:t>
      </w:r>
    </w:p>
    <w:p w14:paraId="66C2BB9D" w14:textId="77777777" w:rsidR="0047339C" w:rsidRDefault="00656099">
      <w:pPr>
        <w:spacing w:after="523"/>
        <w:ind w:left="570" w:right="570"/>
      </w:pPr>
      <w:r>
        <w:t>Results of an experimental evaluation on</w:t>
      </w:r>
      <w:r>
        <w:t xml:space="preserve"> various data streams, which comprises synthetic and real-world data, including credit scoring data, show </w:t>
      </w:r>
      <w:r>
        <w:lastRenderedPageBreak/>
        <w:t>that the model manages to capture monotonous drift patterns accurately and better than existing methods. Thereby, it requires not more than 1</w:t>
      </w:r>
      <w:r>
        <w:rPr>
          <w:i/>
        </w:rPr>
        <w:t>.</w:t>
      </w:r>
      <w:r>
        <w:t xml:space="preserve">5 times </w:t>
      </w:r>
      <w:r>
        <w:t>the run time of a corresponding static density estimation approach. This makes it an interesting candidate for analysing and predicting continuous distributional change patterns in time-evolving streaming data.</w:t>
      </w:r>
    </w:p>
    <w:p w14:paraId="57A46D3F" w14:textId="77777777" w:rsidR="0047339C" w:rsidRDefault="00656099">
      <w:pPr>
        <w:spacing w:after="116" w:line="259" w:lineRule="auto"/>
        <w:ind w:left="0" w:right="0" w:firstLine="0"/>
        <w:jc w:val="left"/>
      </w:pPr>
      <w:r>
        <w:rPr>
          <w:b/>
          <w:sz w:val="34"/>
        </w:rPr>
        <w:t>References</w:t>
      </w:r>
    </w:p>
    <w:p w14:paraId="59FFE35A" w14:textId="77777777" w:rsidR="0047339C" w:rsidRDefault="00656099">
      <w:pPr>
        <w:spacing w:after="207" w:line="264" w:lineRule="auto"/>
        <w:ind w:left="242" w:right="-15" w:hanging="257"/>
      </w:pPr>
      <w:r>
        <w:rPr>
          <w:sz w:val="24"/>
        </w:rPr>
        <w:t xml:space="preserve">[Dyer et al., 2014] Dyer, K. B., Capo, R., and </w:t>
      </w:r>
      <w:proofErr w:type="spellStart"/>
      <w:r>
        <w:rPr>
          <w:sz w:val="24"/>
        </w:rPr>
        <w:t>Polikar</w:t>
      </w:r>
      <w:proofErr w:type="spellEnd"/>
      <w:r>
        <w:rPr>
          <w:sz w:val="24"/>
        </w:rPr>
        <w:t xml:space="preserve">, R. (2014). Compose: A </w:t>
      </w:r>
      <w:proofErr w:type="spellStart"/>
      <w:r>
        <w:rPr>
          <w:sz w:val="24"/>
        </w:rPr>
        <w:t>semisupervised</w:t>
      </w:r>
      <w:proofErr w:type="spellEnd"/>
      <w:r>
        <w:rPr>
          <w:sz w:val="24"/>
        </w:rPr>
        <w:t xml:space="preserve"> learning framework for initially </w:t>
      </w:r>
      <w:proofErr w:type="spellStart"/>
      <w:r>
        <w:rPr>
          <w:sz w:val="24"/>
        </w:rPr>
        <w:t>labeled</w:t>
      </w:r>
      <w:proofErr w:type="spellEnd"/>
      <w:r>
        <w:rPr>
          <w:sz w:val="24"/>
        </w:rPr>
        <w:t xml:space="preserve"> nonstationary streaming data. </w:t>
      </w:r>
      <w:r>
        <w:rPr>
          <w:i/>
          <w:sz w:val="24"/>
        </w:rPr>
        <w:t>IEEE Transactions on Neural Networks and Learning Systems</w:t>
      </w:r>
      <w:r>
        <w:rPr>
          <w:sz w:val="24"/>
        </w:rPr>
        <w:t>, 25(1):12 – 26. Special issue on L</w:t>
      </w:r>
      <w:r>
        <w:rPr>
          <w:sz w:val="24"/>
        </w:rPr>
        <w:t>earning in Nonstationary and Dynamic Environments.</w:t>
      </w:r>
    </w:p>
    <w:p w14:paraId="48C1C8E3" w14:textId="77777777" w:rsidR="0047339C" w:rsidRDefault="00656099">
      <w:pPr>
        <w:spacing w:after="207" w:line="264" w:lineRule="auto"/>
        <w:ind w:left="242" w:right="-15" w:hanging="257"/>
      </w:pPr>
      <w:r>
        <w:rPr>
          <w:sz w:val="24"/>
        </w:rPr>
        <w:t xml:space="preserve">[Gama et al., 2014] Gama, J., </w:t>
      </w:r>
      <w:proofErr w:type="spellStart"/>
      <w:r>
        <w:rPr>
          <w:sz w:val="24"/>
        </w:rPr>
        <w:t>Zliobaite</w:t>
      </w:r>
      <w:proofErr w:type="spellEnd"/>
      <w:r>
        <w:rPr>
          <w:sz w:val="24"/>
        </w:rPr>
        <w:t xml:space="preserve">, I., </w:t>
      </w:r>
      <w:proofErr w:type="spellStart"/>
      <w:r>
        <w:rPr>
          <w:sz w:val="24"/>
        </w:rPr>
        <w:t>Bifet</w:t>
      </w:r>
      <w:proofErr w:type="spellEnd"/>
      <w:r>
        <w:rPr>
          <w:sz w:val="24"/>
        </w:rPr>
        <w:t xml:space="preserve">, A., </w:t>
      </w:r>
      <w:proofErr w:type="spellStart"/>
      <w:r>
        <w:rPr>
          <w:sz w:val="24"/>
        </w:rPr>
        <w:t>Pechenizkiy</w:t>
      </w:r>
      <w:proofErr w:type="spellEnd"/>
      <w:r>
        <w:rPr>
          <w:sz w:val="24"/>
        </w:rPr>
        <w:t xml:space="preserve">, M., and </w:t>
      </w:r>
      <w:proofErr w:type="spellStart"/>
      <w:r>
        <w:rPr>
          <w:sz w:val="24"/>
        </w:rPr>
        <w:t>Bouchachia</w:t>
      </w:r>
      <w:proofErr w:type="spellEnd"/>
      <w:r>
        <w:rPr>
          <w:sz w:val="24"/>
        </w:rPr>
        <w:t xml:space="preserve">, A. (2014). A survey on concept drift adaptation. </w:t>
      </w:r>
      <w:r>
        <w:rPr>
          <w:i/>
          <w:sz w:val="24"/>
        </w:rPr>
        <w:t>ACM Computing Surveys</w:t>
      </w:r>
      <w:r>
        <w:rPr>
          <w:sz w:val="24"/>
        </w:rPr>
        <w:t>, 46(4):1–44.</w:t>
      </w:r>
    </w:p>
    <w:p w14:paraId="4D449A76" w14:textId="77777777" w:rsidR="0047339C" w:rsidRDefault="00656099">
      <w:pPr>
        <w:spacing w:after="207" w:line="264" w:lineRule="auto"/>
        <w:ind w:left="242" w:right="-15" w:hanging="257"/>
      </w:pPr>
      <w:r>
        <w:rPr>
          <w:sz w:val="24"/>
        </w:rPr>
        <w:t xml:space="preserve">[Hofer and </w:t>
      </w:r>
      <w:proofErr w:type="spellStart"/>
      <w:r>
        <w:rPr>
          <w:sz w:val="24"/>
        </w:rPr>
        <w:t>Krempl</w:t>
      </w:r>
      <w:proofErr w:type="spellEnd"/>
      <w:r>
        <w:rPr>
          <w:sz w:val="24"/>
        </w:rPr>
        <w:t xml:space="preserve">, 2013] Hofer, </w:t>
      </w:r>
      <w:r>
        <w:rPr>
          <w:sz w:val="24"/>
        </w:rPr>
        <w:t xml:space="preserve">V. and </w:t>
      </w:r>
      <w:proofErr w:type="spellStart"/>
      <w:r>
        <w:rPr>
          <w:sz w:val="24"/>
        </w:rPr>
        <w:t>Krempl</w:t>
      </w:r>
      <w:proofErr w:type="spellEnd"/>
      <w:r>
        <w:rPr>
          <w:sz w:val="24"/>
        </w:rPr>
        <w:t xml:space="preserve">, G. (2013). Drift mining in data: A framework for addressing drift in classification. </w:t>
      </w:r>
      <w:r>
        <w:rPr>
          <w:i/>
          <w:sz w:val="24"/>
        </w:rPr>
        <w:t>Computational Statistics and Data Analysis</w:t>
      </w:r>
      <w:r>
        <w:rPr>
          <w:sz w:val="24"/>
        </w:rPr>
        <w:t>, 57(1):377–391.</w:t>
      </w:r>
    </w:p>
    <w:p w14:paraId="5BE66D38" w14:textId="77777777" w:rsidR="0047339C" w:rsidRDefault="00656099">
      <w:pPr>
        <w:spacing w:after="207" w:line="264" w:lineRule="auto"/>
        <w:ind w:left="242" w:right="-15" w:hanging="257"/>
      </w:pPr>
      <w:r>
        <w:rPr>
          <w:sz w:val="24"/>
        </w:rPr>
        <w:t>[Kelly et al., 1999] Kelly, M. G., Hand, D. J., and Adams, N. M. (1999). The impact of changing p</w:t>
      </w:r>
      <w:r>
        <w:rPr>
          <w:sz w:val="24"/>
        </w:rPr>
        <w:t xml:space="preserve">opulations on classifier performance. In </w:t>
      </w:r>
      <w:r>
        <w:rPr>
          <w:i/>
          <w:sz w:val="24"/>
        </w:rPr>
        <w:t>Proceedings of the fifth ACM SIGKDD international conference on Knowledge discovery and data mining</w:t>
      </w:r>
      <w:r>
        <w:rPr>
          <w:sz w:val="24"/>
        </w:rPr>
        <w:t>, page 367–371.</w:t>
      </w:r>
    </w:p>
    <w:p w14:paraId="31F8DAB5" w14:textId="77777777" w:rsidR="0047339C" w:rsidRDefault="00656099">
      <w:pPr>
        <w:spacing w:after="207" w:line="264" w:lineRule="auto"/>
        <w:ind w:left="242" w:right="-15" w:hanging="257"/>
      </w:pPr>
      <w:r>
        <w:rPr>
          <w:sz w:val="24"/>
        </w:rPr>
        <w:t>[</w:t>
      </w:r>
      <w:proofErr w:type="spellStart"/>
      <w:r>
        <w:rPr>
          <w:sz w:val="24"/>
        </w:rPr>
        <w:t>Krempl</w:t>
      </w:r>
      <w:proofErr w:type="spellEnd"/>
      <w:r>
        <w:rPr>
          <w:sz w:val="24"/>
        </w:rPr>
        <w:t xml:space="preserve">, 2011] </w:t>
      </w:r>
      <w:proofErr w:type="spellStart"/>
      <w:r>
        <w:rPr>
          <w:sz w:val="24"/>
        </w:rPr>
        <w:t>Krempl</w:t>
      </w:r>
      <w:proofErr w:type="spellEnd"/>
      <w:r>
        <w:rPr>
          <w:sz w:val="24"/>
        </w:rPr>
        <w:t>, G. (2011). The algorithm APT to classify in concurrence of latency and drift.</w:t>
      </w:r>
      <w:r>
        <w:rPr>
          <w:sz w:val="24"/>
        </w:rPr>
        <w:t xml:space="preserve"> In Gama, J., Bradley, E., and </w:t>
      </w:r>
      <w:proofErr w:type="spellStart"/>
      <w:r>
        <w:rPr>
          <w:sz w:val="24"/>
        </w:rPr>
        <w:t>Hollm´en</w:t>
      </w:r>
      <w:proofErr w:type="spellEnd"/>
      <w:r>
        <w:rPr>
          <w:sz w:val="24"/>
        </w:rPr>
        <w:t xml:space="preserve">, J., editors, </w:t>
      </w:r>
      <w:r>
        <w:rPr>
          <w:i/>
          <w:sz w:val="24"/>
        </w:rPr>
        <w:t>Advances in Intelligent Data Analysis X</w:t>
      </w:r>
      <w:r>
        <w:rPr>
          <w:sz w:val="24"/>
        </w:rPr>
        <w:t xml:space="preserve">, volume 7014 of </w:t>
      </w:r>
      <w:r>
        <w:rPr>
          <w:i/>
          <w:sz w:val="24"/>
        </w:rPr>
        <w:t>Lecture Notes in Computer Science</w:t>
      </w:r>
      <w:r>
        <w:rPr>
          <w:sz w:val="24"/>
        </w:rPr>
        <w:t>, page 222–233. Springer.</w:t>
      </w:r>
    </w:p>
    <w:p w14:paraId="32EB11AB" w14:textId="77777777" w:rsidR="0047339C" w:rsidRDefault="00656099">
      <w:pPr>
        <w:spacing w:after="207" w:line="264" w:lineRule="auto"/>
        <w:ind w:left="242" w:right="-15" w:hanging="257"/>
      </w:pPr>
      <w:r>
        <w:rPr>
          <w:sz w:val="24"/>
        </w:rPr>
        <w:t>[</w:t>
      </w:r>
      <w:proofErr w:type="spellStart"/>
      <w:r>
        <w:rPr>
          <w:sz w:val="24"/>
        </w:rPr>
        <w:t>Plasse</w:t>
      </w:r>
      <w:proofErr w:type="spellEnd"/>
      <w:r>
        <w:rPr>
          <w:sz w:val="24"/>
        </w:rPr>
        <w:t xml:space="preserve"> and Adams, 2016] </w:t>
      </w:r>
      <w:proofErr w:type="spellStart"/>
      <w:r>
        <w:rPr>
          <w:sz w:val="24"/>
        </w:rPr>
        <w:t>Plasse</w:t>
      </w:r>
      <w:proofErr w:type="spellEnd"/>
      <w:r>
        <w:rPr>
          <w:sz w:val="24"/>
        </w:rPr>
        <w:t>, J. and Adams, N. (2016). Handling delayed labels in te</w:t>
      </w:r>
      <w:r>
        <w:rPr>
          <w:sz w:val="24"/>
        </w:rPr>
        <w:t xml:space="preserve">mporally evolving data streams. In </w:t>
      </w:r>
      <w:r>
        <w:rPr>
          <w:i/>
          <w:sz w:val="24"/>
        </w:rPr>
        <w:t>Big Data</w:t>
      </w:r>
      <w:r>
        <w:rPr>
          <w:sz w:val="24"/>
        </w:rPr>
        <w:t>, pages 2416–2424. IEEE.</w:t>
      </w:r>
    </w:p>
    <w:p w14:paraId="7F11A4A2" w14:textId="77777777" w:rsidR="0047339C" w:rsidRDefault="00656099">
      <w:pPr>
        <w:spacing w:after="207" w:line="264" w:lineRule="auto"/>
        <w:ind w:left="242" w:right="-15" w:hanging="257"/>
      </w:pPr>
      <w:r>
        <w:rPr>
          <w:sz w:val="24"/>
        </w:rPr>
        <w:t>[</w:t>
      </w:r>
      <w:proofErr w:type="spellStart"/>
      <w:r>
        <w:rPr>
          <w:sz w:val="24"/>
        </w:rPr>
        <w:t>Tasche</w:t>
      </w:r>
      <w:proofErr w:type="spellEnd"/>
      <w:r>
        <w:rPr>
          <w:sz w:val="24"/>
        </w:rPr>
        <w:t xml:space="preserve">, 2014] </w:t>
      </w:r>
      <w:proofErr w:type="spellStart"/>
      <w:r>
        <w:rPr>
          <w:sz w:val="24"/>
        </w:rPr>
        <w:t>Tasche</w:t>
      </w:r>
      <w:proofErr w:type="spellEnd"/>
      <w:r>
        <w:rPr>
          <w:sz w:val="24"/>
        </w:rPr>
        <w:t xml:space="preserve">, D. (2014). Exact fit of simple finite mixture models. </w:t>
      </w:r>
      <w:r>
        <w:rPr>
          <w:i/>
          <w:sz w:val="24"/>
        </w:rPr>
        <w:t>Journal of Risk and Financial Management</w:t>
      </w:r>
      <w:r>
        <w:rPr>
          <w:sz w:val="24"/>
        </w:rPr>
        <w:t>, 7:150–164.</w:t>
      </w:r>
    </w:p>
    <w:p w14:paraId="62E5E10C" w14:textId="77777777" w:rsidR="0047339C" w:rsidRDefault="00656099">
      <w:pPr>
        <w:spacing w:after="207" w:line="264" w:lineRule="auto"/>
        <w:ind w:left="242" w:right="-15" w:hanging="257"/>
      </w:pPr>
      <w:r>
        <w:rPr>
          <w:sz w:val="24"/>
        </w:rPr>
        <w:t>[</w:t>
      </w:r>
      <w:proofErr w:type="spellStart"/>
      <w:r>
        <w:rPr>
          <w:sz w:val="24"/>
        </w:rPr>
        <w:t>Zliobaite</w:t>
      </w:r>
      <w:proofErr w:type="spellEnd"/>
      <w:r>
        <w:rPr>
          <w:sz w:val="24"/>
        </w:rPr>
        <w:t xml:space="preserve"> et al., 2016] </w:t>
      </w:r>
      <w:proofErr w:type="spellStart"/>
      <w:r>
        <w:rPr>
          <w:sz w:val="24"/>
        </w:rPr>
        <w:t>Zliobaite</w:t>
      </w:r>
      <w:proofErr w:type="spellEnd"/>
      <w:r>
        <w:rPr>
          <w:sz w:val="24"/>
        </w:rPr>
        <w:t xml:space="preserve">, I., </w:t>
      </w:r>
      <w:proofErr w:type="spellStart"/>
      <w:r>
        <w:rPr>
          <w:sz w:val="24"/>
        </w:rPr>
        <w:t>Pechenizkiy</w:t>
      </w:r>
      <w:proofErr w:type="spellEnd"/>
      <w:r>
        <w:rPr>
          <w:sz w:val="24"/>
        </w:rPr>
        <w:t>, M., a</w:t>
      </w:r>
      <w:r>
        <w:rPr>
          <w:sz w:val="24"/>
        </w:rPr>
        <w:t xml:space="preserve">nd Gama, J. (2016). An overview of concept drift applications. In </w:t>
      </w:r>
      <w:proofErr w:type="spellStart"/>
      <w:r>
        <w:rPr>
          <w:sz w:val="24"/>
        </w:rPr>
        <w:t>Japkowicz</w:t>
      </w:r>
      <w:proofErr w:type="spellEnd"/>
      <w:r>
        <w:rPr>
          <w:sz w:val="24"/>
        </w:rPr>
        <w:t xml:space="preserve">, N. and </w:t>
      </w:r>
      <w:proofErr w:type="spellStart"/>
      <w:r>
        <w:rPr>
          <w:sz w:val="24"/>
        </w:rPr>
        <w:t>Stefanowski</w:t>
      </w:r>
      <w:proofErr w:type="spellEnd"/>
      <w:r>
        <w:rPr>
          <w:sz w:val="24"/>
        </w:rPr>
        <w:t xml:space="preserve">, J., editors, </w:t>
      </w:r>
      <w:r>
        <w:rPr>
          <w:i/>
          <w:sz w:val="24"/>
        </w:rPr>
        <w:t>Big Data Analysis: New Algorithms for a New Society</w:t>
      </w:r>
      <w:r>
        <w:rPr>
          <w:sz w:val="24"/>
        </w:rPr>
        <w:t>, page 91–114. Springer, Cham.</w:t>
      </w:r>
    </w:p>
    <w:sectPr w:rsidR="0047339C">
      <w:pgSz w:w="11906" w:h="16838"/>
      <w:pgMar w:top="2355" w:right="1701" w:bottom="27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39C"/>
    <w:rsid w:val="0047339C"/>
    <w:rsid w:val="006560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CD7FD"/>
  <w15:docId w15:val="{F39D4681-E64C-4184-BE2C-ECDCAF8B2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7" w:lineRule="auto"/>
      <w:ind w:left="585" w:right="585" w:firstLine="317"/>
      <w:jc w:val="both"/>
    </w:pPr>
    <w:rPr>
      <w:rFonts w:ascii="Cambria" w:eastAsia="Cambria" w:hAnsi="Cambria" w:cs="Cambri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A0B603DB777B45874E949A45B7528A" ma:contentTypeVersion="17" ma:contentTypeDescription="Create a new document." ma:contentTypeScope="" ma:versionID="d148c3f7b9d706c7794473bca8b1587e">
  <xsd:schema xmlns:xsd="http://www.w3.org/2001/XMLSchema" xmlns:xs="http://www.w3.org/2001/XMLSchema" xmlns:p="http://schemas.microsoft.com/office/2006/metadata/properties" xmlns:ns2="5ed0611f-f2cf-4ffa-84bd-9da84eedf2ae" xmlns:ns3="8dbd49e9-5f06-4ee3-977f-5d3b54b0196f" targetNamespace="http://schemas.microsoft.com/office/2006/metadata/properties" ma:root="true" ma:fieldsID="3ee42cba7384bd3aef4d0ce08d8fd21b" ns2:_="" ns3:_="">
    <xsd:import namespace="5ed0611f-f2cf-4ffa-84bd-9da84eedf2ae"/>
    <xsd:import namespace="8dbd49e9-5f06-4ee3-977f-5d3b54b019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eting_x0020_Date" minOccurs="0"/>
                <xsd:element ref="ns3:TaxKeywordTaxHTField" minOccurs="0"/>
                <xsd:element ref="ns3:TaxCatchAll" minOccurs="0"/>
                <xsd:element ref="ns2:p74h"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0611f-f2cf-4ffa-84bd-9da84eedf2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eting_x0020_Date" ma:index="12" nillable="true" ma:displayName="Meeting Date" ma:default="01-02-2018" ma:format="Dropdown" ma:internalName="Meeting_x0020_Date">
      <xsd:simpleType>
        <xsd:union memberTypes="dms:Text">
          <xsd:simpleType>
            <xsd:restriction base="dms:Choice">
              <xsd:enumeration value="01-02-2018"/>
            </xsd:restriction>
          </xsd:simpleType>
        </xsd:union>
      </xsd:simpleType>
    </xsd:element>
    <xsd:element name="p74h" ma:index="16" nillable="true" ma:displayName="Person or Group" ma:list="UserInfo" ma:internalName="p7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bd49e9-5f06-4ee3-977f-5d3b54b019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4"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fe059a8b-babb-4764-8106-b5457c5303d0}" ma:internalName="TaxCatchAll" ma:showField="CatchAllData" ma:web="8dbd49e9-5f06-4ee3-977f-5d3b54b01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8dbd49e9-5f06-4ee3-977f-5d3b54b0196f">
      <Terms xmlns="http://schemas.microsoft.com/office/infopath/2007/PartnerControls"/>
    </TaxKeywordTaxHTField>
    <p74h xmlns="5ed0611f-f2cf-4ffa-84bd-9da84eedf2ae">
      <UserInfo>
        <DisplayName/>
        <AccountId xsi:nil="true"/>
        <AccountType/>
      </UserInfo>
    </p74h>
    <Meeting_x0020_Date xmlns="5ed0611f-f2cf-4ffa-84bd-9da84eedf2ae">01-02-2018</Meeting_x0020_Date>
    <TaxCatchAll xmlns="8dbd49e9-5f06-4ee3-977f-5d3b54b0196f"/>
  </documentManagement>
</p:properties>
</file>

<file path=customXml/itemProps1.xml><?xml version="1.0" encoding="utf-8"?>
<ds:datastoreItem xmlns:ds="http://schemas.openxmlformats.org/officeDocument/2006/customXml" ds:itemID="{745DDE3B-A6AD-4173-9B11-A6F79D3F1277}"/>
</file>

<file path=customXml/itemProps2.xml><?xml version="1.0" encoding="utf-8"?>
<ds:datastoreItem xmlns:ds="http://schemas.openxmlformats.org/officeDocument/2006/customXml" ds:itemID="{261591D2-5EC1-4187-B88E-D7834B0E3029}"/>
</file>

<file path=customXml/itemProps3.xml><?xml version="1.0" encoding="utf-8"?>
<ds:datastoreItem xmlns:ds="http://schemas.openxmlformats.org/officeDocument/2006/customXml" ds:itemID="{13523142-93C9-48E3-8A52-878D2BAFA173}"/>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3848</Characters>
  <Application>Microsoft Office Word</Application>
  <DocSecurity>0</DocSecurity>
  <Lines>32</Lines>
  <Paragraphs>9</Paragraphs>
  <ScaleCrop>false</ScaleCrop>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dc:creator>
  <cp:keywords/>
  <cp:lastModifiedBy>Jen</cp:lastModifiedBy>
  <cp:revision>2</cp:revision>
  <dcterms:created xsi:type="dcterms:W3CDTF">2020-10-28T13:15:00Z</dcterms:created>
  <dcterms:modified xsi:type="dcterms:W3CDTF">2020-10-28T13:15:00Z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0x01010081A0B603DB777B45874E949A45B7528A</vt:lpwstr>
  </property>
</Properties>
</file>