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07ED0" w14:textId="77777777" w:rsidR="00955EB6" w:rsidRDefault="001A4E1B">
      <w:pPr>
        <w:spacing w:after="160" w:line="259" w:lineRule="auto"/>
        <w:ind w:left="1054" w:firstLine="0"/>
        <w:jc w:val="center"/>
      </w:pPr>
      <w:r>
        <w:rPr>
          <w:b/>
          <w:sz w:val="22"/>
        </w:rPr>
        <w:t xml:space="preserve">Quantification of Model Risk </w:t>
      </w:r>
    </w:p>
    <w:p w14:paraId="447DC901" w14:textId="77777777" w:rsidR="00955EB6" w:rsidRDefault="001A4E1B">
      <w:pPr>
        <w:spacing w:after="180" w:line="259" w:lineRule="auto"/>
        <w:ind w:left="1072" w:firstLine="0"/>
      </w:pPr>
      <w:r>
        <w:rPr>
          <w:i/>
          <w:sz w:val="22"/>
        </w:rPr>
        <w:t xml:space="preserve">Research and development framework for the application of machine learning to quantify model risk </w:t>
      </w:r>
    </w:p>
    <w:p w14:paraId="2895043B" w14:textId="77777777" w:rsidR="00955EB6" w:rsidRDefault="001A4E1B">
      <w:pPr>
        <w:spacing w:after="158" w:line="259" w:lineRule="auto"/>
        <w:ind w:left="1034" w:firstLine="0"/>
      </w:pPr>
      <w:r>
        <w:t xml:space="preserve"> </w:t>
      </w:r>
    </w:p>
    <w:p w14:paraId="77D00F3E" w14:textId="77777777" w:rsidR="00955EB6" w:rsidRDefault="001A4E1B">
      <w:pPr>
        <w:ind w:left="1029"/>
      </w:pPr>
      <w:r>
        <w:t xml:space="preserve">Regulators are increasingly expecting banks to implement model risk appetite frameworks which demonstrate that model uncertainties are adequately understood, managed, </w:t>
      </w:r>
      <w:proofErr w:type="gramStart"/>
      <w:r>
        <w:t>monitored</w:t>
      </w:r>
      <w:proofErr w:type="gramEnd"/>
      <w:r>
        <w:t xml:space="preserve"> and reported, both on an individual level as well as in aggregate level.  These</w:t>
      </w:r>
      <w:r>
        <w:t xml:space="preserve"> requirements continue to evolve against a </w:t>
      </w:r>
      <w:proofErr w:type="gramStart"/>
      <w:r>
        <w:t>back drop</w:t>
      </w:r>
      <w:proofErr w:type="gramEnd"/>
      <w:r>
        <w:t xml:space="preserve"> of a significant rise in the number of models being developed and used in financial institutions for regulatory and business purposes e.g.  IFRS 9 impairment, new stress testing requirements and new rule</w:t>
      </w:r>
      <w:r>
        <w:t xml:space="preserve">s for internal capital models. This greater reliance on complex models and broader use across the institution inevitably leads to increased regulatory scrutiny on the institution’s model risk management framework.  </w:t>
      </w:r>
    </w:p>
    <w:p w14:paraId="03E5A621" w14:textId="77777777" w:rsidR="00955EB6" w:rsidRDefault="001A4E1B">
      <w:pPr>
        <w:spacing w:line="259" w:lineRule="auto"/>
        <w:ind w:left="1034" w:firstLine="0"/>
      </w:pPr>
      <w:r>
        <w:t xml:space="preserve"> </w:t>
      </w:r>
    </w:p>
    <w:p w14:paraId="1C22E2FB" w14:textId="77777777" w:rsidR="00955EB6" w:rsidRDefault="001A4E1B">
      <w:pPr>
        <w:ind w:left="1029"/>
      </w:pPr>
      <w:r>
        <w:t>Regulators expect senior management to</w:t>
      </w:r>
      <w:r>
        <w:t xml:space="preserve"> manage model risk like any other risk type. This brings up the question of how model risks can be quantified and reported consistently and comprehensively. </w:t>
      </w:r>
    </w:p>
    <w:p w14:paraId="016A8A5C" w14:textId="77777777" w:rsidR="00955EB6" w:rsidRDefault="001A4E1B">
      <w:pPr>
        <w:spacing w:line="259" w:lineRule="auto"/>
        <w:ind w:left="1034" w:firstLine="0"/>
      </w:pPr>
      <w:r>
        <w:t xml:space="preserve">  </w:t>
      </w:r>
    </w:p>
    <w:p w14:paraId="6F4A905C" w14:textId="77777777" w:rsidR="00955EB6" w:rsidRDefault="001A4E1B">
      <w:pPr>
        <w:spacing w:after="168"/>
        <w:ind w:left="1029"/>
      </w:pPr>
      <w:r>
        <w:t xml:space="preserve">Deloitte together with a UK Commercial Bank developed an approach to quantify model risk using </w:t>
      </w:r>
      <w:r>
        <w:t>advanced analytical approaches such as machine learning, based on model performance monitoring data only. Our approach isolates model risk into three drivers: modelling data, model design and model calibration. The aim of this presentation is to describe o</w:t>
      </w:r>
      <w:r>
        <w:t xml:space="preserve">ur model risk quantification framework with the use of a real-life case study to illustrate how model risks associated with Unsecured Pillar 1 capital models can be measured. </w:t>
      </w:r>
    </w:p>
    <w:p w14:paraId="1A910852" w14:textId="77777777" w:rsidR="00955EB6" w:rsidRDefault="001A4E1B">
      <w:pPr>
        <w:spacing w:after="150"/>
        <w:ind w:left="1029"/>
      </w:pPr>
      <w:r>
        <w:t>This paper explores the techniques used to identify anomalous data points and qu</w:t>
      </w:r>
      <w:r>
        <w:t xml:space="preserve">antify data corrections, produce automated challenger </w:t>
      </w:r>
      <w:proofErr w:type="gramStart"/>
      <w:r>
        <w:t>models</w:t>
      </w:r>
      <w:proofErr w:type="gramEnd"/>
      <w:r>
        <w:t xml:space="preserve"> and measure the potential errors in model calibration. The conclusions and lessons learned are also presented, including the aggregation of the distribution of errors from the three model risk dr</w:t>
      </w:r>
      <w:r>
        <w:t xml:space="preserve">ivers and our approach to converting the error distribution into an estimate of model risk in monetary terms.  </w:t>
      </w:r>
    </w:p>
    <w:p w14:paraId="48F8EA36" w14:textId="77777777" w:rsidR="00955EB6" w:rsidRDefault="001A4E1B">
      <w:pPr>
        <w:spacing w:after="4540" w:line="259" w:lineRule="auto"/>
        <w:ind w:left="1034" w:firstLine="0"/>
      </w:pPr>
      <w:r>
        <w:rPr>
          <w:sz w:val="22"/>
        </w:rPr>
        <w:t xml:space="preserve"> </w:t>
      </w:r>
    </w:p>
    <w:p w14:paraId="103DEAD8" w14:textId="77777777" w:rsidR="00955EB6" w:rsidRDefault="001A4E1B">
      <w:pPr>
        <w:spacing w:after="98" w:line="259" w:lineRule="auto"/>
        <w:ind w:left="1034" w:firstLine="0"/>
      </w:pPr>
      <w:r>
        <w:rPr>
          <w:sz w:val="22"/>
        </w:rPr>
        <w:lastRenderedPageBreak/>
        <w:t xml:space="preserve"> </w:t>
      </w:r>
    </w:p>
    <w:p w14:paraId="3267100D" w14:textId="77777777" w:rsidR="00955EB6" w:rsidRDefault="001A4E1B">
      <w:pPr>
        <w:spacing w:line="259" w:lineRule="auto"/>
        <w:ind w:left="0" w:firstLine="0"/>
      </w:pPr>
      <w:r>
        <w:rPr>
          <w:sz w:val="20"/>
        </w:rPr>
        <w:t xml:space="preserve">Classification: Private </w:t>
      </w:r>
    </w:p>
    <w:sectPr w:rsidR="00955EB6">
      <w:pgSz w:w="11906" w:h="16838"/>
      <w:pgMar w:top="1440" w:right="1460" w:bottom="1440" w:left="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B6"/>
    <w:rsid w:val="001A4E1B"/>
    <w:rsid w:val="009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5D91"/>
  <w15:docId w15:val="{50120640-DF47-40C9-80D7-D0665CF0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  <w:ind w:left="1044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434E3A3C-F681-4EAD-8586-99A6CE75F8E2}"/>
</file>

<file path=customXml/itemProps2.xml><?xml version="1.0" encoding="utf-8"?>
<ds:datastoreItem xmlns:ds="http://schemas.openxmlformats.org/officeDocument/2006/customXml" ds:itemID="{25851754-CCBD-4EB1-85AA-7338B719BD93}"/>
</file>

<file path=customXml/itemProps3.xml><?xml version="1.0" encoding="utf-8"?>
<ds:datastoreItem xmlns:ds="http://schemas.openxmlformats.org/officeDocument/2006/customXml" ds:itemID="{DE61D42B-0A8A-43A5-9993-015A47E18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Chong, Yung (UK - London)</dc:creator>
  <cp:keywords/>
  <cp:lastModifiedBy>Jen</cp:lastModifiedBy>
  <cp:revision>2</cp:revision>
  <dcterms:created xsi:type="dcterms:W3CDTF">2020-10-28T15:46:00Z</dcterms:created>
  <dcterms:modified xsi:type="dcterms:W3CDTF">2020-10-28T15:46:00Z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