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2DF24A" w14:textId="77777777" w:rsidR="00EF5DCD" w:rsidRDefault="00A713D0">
      <w:pPr>
        <w:spacing w:after="0"/>
        <w:ind w:left="180" w:right="0" w:firstLine="0"/>
        <w:jc w:val="left"/>
      </w:pPr>
      <w:r>
        <w:rPr>
          <w:b/>
        </w:rPr>
        <w:t>Can risk-</w:t>
      </w:r>
      <w:r>
        <w:rPr>
          <w:b/>
        </w:rPr>
        <w:t xml:space="preserve">based pricing improve social and financial efficiency of microfinance institutions, its impact on financial inclusion and access to traditional banking services?  </w:t>
      </w:r>
    </w:p>
    <w:p w14:paraId="27B4CEBC" w14:textId="77777777" w:rsidR="00EF5DCD" w:rsidRDefault="00A713D0">
      <w:pPr>
        <w:spacing w:after="0" w:line="259" w:lineRule="auto"/>
        <w:ind w:left="180" w:right="0" w:firstLine="0"/>
        <w:jc w:val="left"/>
      </w:pPr>
      <w:r>
        <w:t xml:space="preserve"> </w:t>
      </w:r>
    </w:p>
    <w:p w14:paraId="5E6BD192" w14:textId="77777777" w:rsidR="00EF5DCD" w:rsidRDefault="00A713D0">
      <w:pPr>
        <w:spacing w:after="36"/>
        <w:ind w:left="175" w:right="-11"/>
      </w:pPr>
      <w:r>
        <w:t>The microfinance industry was established with the main purpose to provide financial servi</w:t>
      </w:r>
      <w:r>
        <w:t xml:space="preserve">ces to people who generally have no access to traditional banking because of their low, </w:t>
      </w:r>
      <w:proofErr w:type="gramStart"/>
      <w:r>
        <w:t>irregular</w:t>
      </w:r>
      <w:proofErr w:type="gramEnd"/>
      <w:r>
        <w:t xml:space="preserve"> or unpredictable income. Microfinance industry is expanding rapidly with an annual growth of over 9% in the global portfolio of loans and the number of active</w:t>
      </w:r>
      <w:r>
        <w:t xml:space="preserve"> borrowers serving around 123 million customers worldwide </w:t>
      </w:r>
      <w:r>
        <w:rPr>
          <w:vertAlign w:val="superscript"/>
        </w:rPr>
        <w:t>(1)</w:t>
      </w:r>
      <w:r>
        <w:t xml:space="preserve">.  </w:t>
      </w:r>
    </w:p>
    <w:p w14:paraId="6953AE9F" w14:textId="77777777" w:rsidR="00EF5DCD" w:rsidRDefault="00A713D0">
      <w:pPr>
        <w:ind w:left="175" w:right="-11"/>
      </w:pPr>
      <w:r>
        <w:t>Financial environments where Microfinance institutions operate differ from country to country, some markets are highly regulated, others provide flexible conditions for microfinance business.</w:t>
      </w:r>
      <w:r>
        <w:t xml:space="preserve"> A naturally raised question is how efficient microfinances are when we compare institutions across different economies and to what extent market conditions impact the efficiency. Using the extensive database of financial, </w:t>
      </w:r>
      <w:proofErr w:type="gramStart"/>
      <w:r>
        <w:t>operational</w:t>
      </w:r>
      <w:proofErr w:type="gramEnd"/>
      <w:r>
        <w:t xml:space="preserve"> and social performanc</w:t>
      </w:r>
      <w:r>
        <w:t xml:space="preserve">e indicators of service providers, the first part of the work describes results of an empirical study of social and financial efficiency based on data envelopment </w:t>
      </w:r>
      <w:proofErr w:type="spellStart"/>
      <w:r>
        <w:t>modeling</w:t>
      </w:r>
      <w:proofErr w:type="spellEnd"/>
      <w:r>
        <w:t xml:space="preserve"> approach. Research investigates further how optimization of credit decisioning resul</w:t>
      </w:r>
      <w:r>
        <w:t xml:space="preserve">ts on MFI efficiency and subsequently on financial inclusion.  </w:t>
      </w:r>
    </w:p>
    <w:p w14:paraId="4A5EE8C5" w14:textId="77777777" w:rsidR="00EF5DCD" w:rsidRDefault="00A713D0">
      <w:pPr>
        <w:ind w:left="175" w:right="-11"/>
      </w:pPr>
      <w:r>
        <w:t>The microfinance industry is now seen not only as a tool to improve living conditions and reduce poverty, but also as an opportunity for consumers to build their credit history and subsequentl</w:t>
      </w:r>
      <w:r>
        <w:t>y access traditional banking services</w:t>
      </w:r>
      <w:r>
        <w:rPr>
          <w:vertAlign w:val="superscript"/>
        </w:rPr>
        <w:t>(2)</w:t>
      </w:r>
      <w:r>
        <w:t xml:space="preserve"> Thus, the second part of the work uses the data collected by a credit bureau to study dependency between the social and financial efficiency of MFIs and its impact on transition of consumers towards the traditional </w:t>
      </w:r>
      <w:r>
        <w:t xml:space="preserve">banking services. </w:t>
      </w:r>
    </w:p>
    <w:p w14:paraId="3614B3B2" w14:textId="77777777" w:rsidR="00EF5DCD" w:rsidRDefault="00A713D0">
      <w:pPr>
        <w:numPr>
          <w:ilvl w:val="0"/>
          <w:numId w:val="1"/>
        </w:numPr>
        <w:spacing w:line="238" w:lineRule="auto"/>
        <w:ind w:right="0" w:hanging="360"/>
        <w:jc w:val="left"/>
      </w:pPr>
      <w:r>
        <w:rPr>
          <w:color w:val="212121"/>
          <w:sz w:val="18"/>
        </w:rPr>
        <w:t>Microfinance Barometer 2017, research published by Convergences,</w:t>
      </w:r>
      <w:hyperlink r:id="rId5">
        <w:r>
          <w:rPr>
            <w:sz w:val="18"/>
          </w:rPr>
          <w:t xml:space="preserve"> </w:t>
        </w:r>
      </w:hyperlink>
      <w:hyperlink r:id="rId6">
        <w:r>
          <w:rPr>
            <w:color w:val="0563C1"/>
            <w:sz w:val="18"/>
            <w:u w:val="single" w:color="0563C1"/>
          </w:rPr>
          <w:t>https://group.bnpparibas/en/news/microfinance</w:t>
        </w:r>
      </w:hyperlink>
      <w:hyperlink r:id="rId7"/>
      <w:hyperlink r:id="rId8">
        <w:r>
          <w:rPr>
            <w:color w:val="0563C1"/>
            <w:sz w:val="18"/>
            <w:u w:val="single" w:color="0563C1"/>
          </w:rPr>
          <w:t>barometer</w:t>
        </w:r>
      </w:hyperlink>
      <w:hyperlink r:id="rId9">
        <w:r>
          <w:rPr>
            <w:color w:val="0563C1"/>
            <w:sz w:val="18"/>
            <w:u w:val="single" w:color="0563C1"/>
          </w:rPr>
          <w:t>-</w:t>
        </w:r>
      </w:hyperlink>
      <w:hyperlink r:id="rId10">
        <w:r>
          <w:rPr>
            <w:color w:val="0563C1"/>
            <w:sz w:val="18"/>
            <w:u w:val="single" w:color="0563C1"/>
          </w:rPr>
          <w:t>2017</w:t>
        </w:r>
      </w:hyperlink>
      <w:hyperlink r:id="rId11">
        <w:r>
          <w:rPr>
            <w:color w:val="0563C1"/>
            <w:sz w:val="18"/>
            <w:u w:val="single" w:color="0563C1"/>
          </w:rPr>
          <w:t>-</w:t>
        </w:r>
      </w:hyperlink>
      <w:hyperlink r:id="rId12">
        <w:r>
          <w:rPr>
            <w:color w:val="0563C1"/>
            <w:sz w:val="18"/>
            <w:u w:val="single" w:color="0563C1"/>
          </w:rPr>
          <w:t>global</w:t>
        </w:r>
      </w:hyperlink>
      <w:hyperlink r:id="rId13">
        <w:r>
          <w:rPr>
            <w:color w:val="0563C1"/>
            <w:sz w:val="18"/>
            <w:u w:val="single" w:color="0563C1"/>
          </w:rPr>
          <w:t>-</w:t>
        </w:r>
      </w:hyperlink>
      <w:hyperlink r:id="rId14">
        <w:r>
          <w:rPr>
            <w:color w:val="0563C1"/>
            <w:sz w:val="18"/>
            <w:u w:val="single" w:color="0563C1"/>
          </w:rPr>
          <w:t>trends</w:t>
        </w:r>
      </w:hyperlink>
      <w:hyperlink r:id="rId15">
        <w:r>
          <w:rPr>
            <w:color w:val="0563C1"/>
            <w:sz w:val="18"/>
            <w:u w:val="single" w:color="0563C1"/>
          </w:rPr>
          <w:t>-</w:t>
        </w:r>
      </w:hyperlink>
      <w:hyperlink r:id="rId16">
        <w:r>
          <w:rPr>
            <w:color w:val="0563C1"/>
            <w:sz w:val="18"/>
            <w:u w:val="single" w:color="0563C1"/>
          </w:rPr>
          <w:t>sector</w:t>
        </w:r>
      </w:hyperlink>
      <w:hyperlink r:id="rId17">
        <w:r>
          <w:rPr>
            <w:sz w:val="18"/>
          </w:rPr>
          <w:t xml:space="preserve"> </w:t>
        </w:r>
      </w:hyperlink>
    </w:p>
    <w:p w14:paraId="533E7D3E" w14:textId="77777777" w:rsidR="00EF5DCD" w:rsidRDefault="00A713D0">
      <w:pPr>
        <w:numPr>
          <w:ilvl w:val="0"/>
          <w:numId w:val="1"/>
        </w:numPr>
        <w:spacing w:after="59" w:line="238" w:lineRule="auto"/>
        <w:ind w:right="0" w:hanging="360"/>
        <w:jc w:val="left"/>
      </w:pPr>
      <w:r>
        <w:rPr>
          <w:color w:val="212121"/>
          <w:sz w:val="18"/>
        </w:rPr>
        <w:t xml:space="preserve">Report published by IFC </w:t>
      </w:r>
      <w:hyperlink r:id="rId18">
        <w:r>
          <w:rPr>
            <w:color w:val="0563C1"/>
            <w:sz w:val="18"/>
            <w:u w:val="single" w:color="0563C1"/>
          </w:rPr>
          <w:t xml:space="preserve">https://www.ifc.org/wps/wcm/connect/f764ae004a8ea1d7b35cff9c54e94b00/FIG+Microfinance+Factsheet+FY16.pdf?M </w:t>
        </w:r>
      </w:hyperlink>
      <w:hyperlink r:id="rId19">
        <w:r>
          <w:rPr>
            <w:color w:val="0563C1"/>
            <w:sz w:val="18"/>
            <w:u w:val="single" w:color="0563C1"/>
          </w:rPr>
          <w:t>OD=AJPERES</w:t>
        </w:r>
      </w:hyperlink>
      <w:hyperlink r:id="rId20">
        <w:r>
          <w:rPr>
            <w:sz w:val="18"/>
          </w:rPr>
          <w:t xml:space="preserve"> </w:t>
        </w:r>
      </w:hyperlink>
    </w:p>
    <w:p w14:paraId="1F579B9A" w14:textId="77777777" w:rsidR="00EF5DCD" w:rsidRDefault="00A713D0">
      <w:pPr>
        <w:spacing w:after="0" w:line="259" w:lineRule="auto"/>
        <w:ind w:left="18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sectPr w:rsidR="00EF5DCD">
      <w:pgSz w:w="11906" w:h="16838"/>
      <w:pgMar w:top="1440" w:right="1436" w:bottom="144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F52D7"/>
    <w:multiLevelType w:val="hybridMultilevel"/>
    <w:tmpl w:val="A3D47D2C"/>
    <w:lvl w:ilvl="0" w:tplc="678CC322">
      <w:start w:val="1"/>
      <w:numFmt w:val="decimal"/>
      <w:lvlText w:val="(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C58B6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FB21E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552F7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18C0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8B80D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6F6D5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B70C8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5B094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DCD"/>
    <w:rsid w:val="00A713D0"/>
    <w:rsid w:val="00EF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5CB1F"/>
  <w15:docId w15:val="{50120640-DF47-40C9-80D7-D0665CF0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39" w:lineRule="auto"/>
      <w:ind w:left="190" w:right="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oup.bnpparibas/en/news/microfinance-barometer-2017-global-trends-sector" TargetMode="External"/><Relationship Id="rId13" Type="http://schemas.openxmlformats.org/officeDocument/2006/relationships/hyperlink" Target="https://group.bnpparibas/en/news/microfinance-barometer-2017-global-trends-sector" TargetMode="External"/><Relationship Id="rId18" Type="http://schemas.openxmlformats.org/officeDocument/2006/relationships/hyperlink" Target="https://www.ifc.org/wps/wcm/connect/f764ae004a8ea1d7b35cff9c54e94b00/FIG+Microfinance+Factsheet+FY16.pdf?MOD=AJPERE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group.bnpparibas/en/news/microfinance-barometer-2017-global-trends-sector" TargetMode="External"/><Relationship Id="rId12" Type="http://schemas.openxmlformats.org/officeDocument/2006/relationships/hyperlink" Target="https://group.bnpparibas/en/news/microfinance-barometer-2017-global-trends-sector" TargetMode="External"/><Relationship Id="rId17" Type="http://schemas.openxmlformats.org/officeDocument/2006/relationships/hyperlink" Target="https://group.bnpparibas/en/news/microfinance-barometer-2017-global-trends-sector" TargetMode="External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yperlink" Target="https://group.bnpparibas/en/news/microfinance-barometer-2017-global-trends-sector" TargetMode="External"/><Relationship Id="rId20" Type="http://schemas.openxmlformats.org/officeDocument/2006/relationships/hyperlink" Target="https://www.ifc.org/wps/wcm/connect/f764ae004a8ea1d7b35cff9c54e94b00/FIG+Microfinance+Factsheet+FY16.pdf?MOD=AJPERE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roup.bnpparibas/en/news/microfinance-barometer-2017-global-trends-sector" TargetMode="External"/><Relationship Id="rId11" Type="http://schemas.openxmlformats.org/officeDocument/2006/relationships/hyperlink" Target="https://group.bnpparibas/en/news/microfinance-barometer-2017-global-trends-sector" TargetMode="External"/><Relationship Id="rId24" Type="http://schemas.openxmlformats.org/officeDocument/2006/relationships/customXml" Target="../customXml/item2.xml"/><Relationship Id="rId5" Type="http://schemas.openxmlformats.org/officeDocument/2006/relationships/hyperlink" Target="https://group.bnpparibas/en/news/microfinance-barometer-2017-global-trends-sector" TargetMode="External"/><Relationship Id="rId15" Type="http://schemas.openxmlformats.org/officeDocument/2006/relationships/hyperlink" Target="https://group.bnpparibas/en/news/microfinance-barometer-2017-global-trends-sector" TargetMode="External"/><Relationship Id="rId23" Type="http://schemas.openxmlformats.org/officeDocument/2006/relationships/customXml" Target="../customXml/item1.xml"/><Relationship Id="rId10" Type="http://schemas.openxmlformats.org/officeDocument/2006/relationships/hyperlink" Target="https://group.bnpparibas/en/news/microfinance-barometer-2017-global-trends-sector" TargetMode="External"/><Relationship Id="rId19" Type="http://schemas.openxmlformats.org/officeDocument/2006/relationships/hyperlink" Target="https://www.ifc.org/wps/wcm/connect/f764ae004a8ea1d7b35cff9c54e94b00/FIG+Microfinance+Factsheet+FY16.pdf?MOD=AJPER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roup.bnpparibas/en/news/microfinance-barometer-2017-global-trends-sector" TargetMode="External"/><Relationship Id="rId14" Type="http://schemas.openxmlformats.org/officeDocument/2006/relationships/hyperlink" Target="https://group.bnpparibas/en/news/microfinance-barometer-2017-global-trends-secto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0B603DB777B45874E949A45B7528A" ma:contentTypeVersion="17" ma:contentTypeDescription="Create a new document." ma:contentTypeScope="" ma:versionID="d148c3f7b9d706c7794473bca8b1587e">
  <xsd:schema xmlns:xsd="http://www.w3.org/2001/XMLSchema" xmlns:xs="http://www.w3.org/2001/XMLSchema" xmlns:p="http://schemas.microsoft.com/office/2006/metadata/properties" xmlns:ns2="5ed0611f-f2cf-4ffa-84bd-9da84eedf2ae" xmlns:ns3="8dbd49e9-5f06-4ee3-977f-5d3b54b0196f" targetNamespace="http://schemas.microsoft.com/office/2006/metadata/properties" ma:root="true" ma:fieldsID="3ee42cba7384bd3aef4d0ce08d8fd21b" ns2:_="" ns3:_="">
    <xsd:import namespace="5ed0611f-f2cf-4ffa-84bd-9da84eedf2ae"/>
    <xsd:import namespace="8dbd49e9-5f06-4ee3-977f-5d3b54b01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eting_x0020_Date" minOccurs="0"/>
                <xsd:element ref="ns3:TaxKeywordTaxHTField" minOccurs="0"/>
                <xsd:element ref="ns3:TaxCatchAll" minOccurs="0"/>
                <xsd:element ref="ns2:p74h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0611f-f2cf-4ffa-84bd-9da84eedf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eting_x0020_Date" ma:index="12" nillable="true" ma:displayName="Meeting Date" ma:default="01-02-2018" ma:format="Dropdown" ma:internalName="Meeting_x0020_Date">
      <xsd:simpleType>
        <xsd:union memberTypes="dms:Text">
          <xsd:simpleType>
            <xsd:restriction base="dms:Choice">
              <xsd:enumeration value="01-02-2018"/>
            </xsd:restriction>
          </xsd:simpleType>
        </xsd:union>
      </xsd:simpleType>
    </xsd:element>
    <xsd:element name="p74h" ma:index="16" nillable="true" ma:displayName="Person or Group" ma:list="UserInfo" ma:internalName="p74h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d49e9-5f06-4ee3-977f-5d3b54b01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fe059a8b-babb-4764-8106-b5457c5303d0}" ma:internalName="TaxCatchAll" ma:showField="CatchAllData" ma:web="8dbd49e9-5f06-4ee3-977f-5d3b54b019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8dbd49e9-5f06-4ee3-977f-5d3b54b0196f">
      <Terms xmlns="http://schemas.microsoft.com/office/infopath/2007/PartnerControls"/>
    </TaxKeywordTaxHTField>
    <p74h xmlns="5ed0611f-f2cf-4ffa-84bd-9da84eedf2ae">
      <UserInfo>
        <DisplayName/>
        <AccountId xsi:nil="true"/>
        <AccountType/>
      </UserInfo>
    </p74h>
    <Meeting_x0020_Date xmlns="5ed0611f-f2cf-4ffa-84bd-9da84eedf2ae">01-02-2018</Meeting_x0020_Date>
    <TaxCatchAll xmlns="8dbd49e9-5f06-4ee3-977f-5d3b54b0196f"/>
  </documentManagement>
</p:properties>
</file>

<file path=customXml/itemProps1.xml><?xml version="1.0" encoding="utf-8"?>
<ds:datastoreItem xmlns:ds="http://schemas.openxmlformats.org/officeDocument/2006/customXml" ds:itemID="{DC626788-EDF4-4B0D-9FB2-B8542B87E004}"/>
</file>

<file path=customXml/itemProps2.xml><?xml version="1.0" encoding="utf-8"?>
<ds:datastoreItem xmlns:ds="http://schemas.openxmlformats.org/officeDocument/2006/customXml" ds:itemID="{7AF5873C-E1CF-45EC-9669-BBB9420CB3CC}"/>
</file>

<file path=customXml/itemProps3.xml><?xml version="1.0" encoding="utf-8"?>
<ds:datastoreItem xmlns:ds="http://schemas.openxmlformats.org/officeDocument/2006/customXml" ds:itemID="{DF48CE07-C1C5-4148-BAA4-B2084A5044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572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Soldatkova</dc:creator>
  <cp:keywords/>
  <cp:lastModifiedBy>Jen</cp:lastModifiedBy>
  <cp:revision>2</cp:revision>
  <dcterms:created xsi:type="dcterms:W3CDTF">2020-10-28T15:47:00Z</dcterms:created>
  <dcterms:modified xsi:type="dcterms:W3CDTF">2020-10-28T15:47:00Z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0x01010081A0B603DB777B45874E949A45B7528A</vt:lpwstr>
  </property>
</Properties>
</file>