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EF55E" w14:textId="77777777" w:rsidR="00F27240" w:rsidRDefault="009E5424">
      <w:pPr>
        <w:spacing w:after="0" w:line="259" w:lineRule="auto"/>
        <w:jc w:val="center"/>
      </w:pPr>
      <w:r>
        <w:rPr>
          <w:b/>
        </w:rPr>
        <w:t xml:space="preserve">What hides behind an extreme currency demand? </w:t>
      </w:r>
    </w:p>
    <w:p w14:paraId="41B7FFE6" w14:textId="77777777" w:rsidR="00F27240" w:rsidRDefault="009E5424">
      <w:pPr>
        <w:spacing w:after="0" w:line="259" w:lineRule="auto"/>
        <w:ind w:right="7"/>
        <w:jc w:val="center"/>
      </w:pPr>
      <w:r>
        <w:rPr>
          <w:b/>
        </w:rPr>
        <w:t xml:space="preserve">Bayesian semi-parametric modelling of heteroscedastic extremes </w:t>
      </w:r>
    </w:p>
    <w:p w14:paraId="4AE0F1D9" w14:textId="77777777" w:rsidR="00F27240" w:rsidRDefault="009E5424">
      <w:pPr>
        <w:spacing w:after="0" w:line="259" w:lineRule="auto"/>
        <w:ind w:left="60" w:right="0" w:firstLine="0"/>
        <w:jc w:val="center"/>
      </w:pPr>
      <w:r>
        <w:rPr>
          <w:b/>
        </w:rPr>
        <w:t xml:space="preserve"> </w:t>
      </w:r>
    </w:p>
    <w:p w14:paraId="32AADCC3" w14:textId="77777777" w:rsidR="00F27240" w:rsidRDefault="009E5424">
      <w:pPr>
        <w:spacing w:after="204" w:line="259" w:lineRule="auto"/>
        <w:jc w:val="center"/>
      </w:pPr>
      <w:r>
        <w:t xml:space="preserve">Miguel de Carvalho*, </w:t>
      </w:r>
      <w:proofErr w:type="spellStart"/>
      <w:r>
        <w:t>Junho</w:t>
      </w:r>
      <w:proofErr w:type="spellEnd"/>
      <w:r>
        <w:t xml:space="preserve"> Lee*</w:t>
      </w:r>
      <w:r>
        <w:rPr>
          <w:vertAlign w:val="superscript"/>
        </w:rPr>
        <w:footnoteReference w:id="1"/>
      </w:r>
      <w:r>
        <w:t xml:space="preserve">, and António </w:t>
      </w:r>
      <w:proofErr w:type="spellStart"/>
      <w:r>
        <w:t>Rua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t>†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E3F0E4" w14:textId="77777777" w:rsidR="00F27240" w:rsidRDefault="009E5424">
      <w:pPr>
        <w:spacing w:after="0" w:line="259" w:lineRule="auto"/>
        <w:ind w:right="6"/>
        <w:jc w:val="center"/>
      </w:pPr>
      <w:r>
        <w:t xml:space="preserve">*School of Mathematics, University of Edinburgh </w:t>
      </w:r>
    </w:p>
    <w:p w14:paraId="469D42AE" w14:textId="77777777" w:rsidR="00F27240" w:rsidRDefault="009E5424">
      <w:pPr>
        <w:spacing w:after="0" w:line="259" w:lineRule="auto"/>
        <w:ind w:right="11"/>
        <w:jc w:val="center"/>
      </w:pPr>
      <w:r>
        <w:rPr>
          <w:rFonts w:ascii="Times New Roman" w:eastAsia="Times New Roman" w:hAnsi="Times New Roman" w:cs="Times New Roman"/>
          <w:vertAlign w:val="superscript"/>
        </w:rPr>
        <w:t>†</w:t>
      </w:r>
      <w:r>
        <w:t>Economics and Research Department,</w:t>
      </w:r>
      <w:r>
        <w:rPr>
          <w:b/>
        </w:rPr>
        <w:t xml:space="preserve"> </w:t>
      </w:r>
      <w:r>
        <w:t xml:space="preserve">Banco de Portugal </w:t>
      </w:r>
    </w:p>
    <w:p w14:paraId="1A13DD9D" w14:textId="77777777" w:rsidR="00F27240" w:rsidRDefault="009E542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7297FB1" w14:textId="77777777" w:rsidR="00F27240" w:rsidRDefault="009E5424">
      <w:pPr>
        <w:ind w:left="-4" w:right="-14"/>
      </w:pPr>
      <w:r>
        <w:t>Extreme value theory is concerned with the risk of occurrence of rare but catastrophic events—such as a financial market crash, bank panic, or the ban</w:t>
      </w:r>
      <w:r>
        <w:t xml:space="preserve">kruptcy of a key player in an economic network. In this talk, I will introduce novel Bayesian semiparametric inference methods for heteroscedastic extremes. The proposed model is based on an extreme value index regression and on a conditional </w:t>
      </w:r>
      <w:proofErr w:type="spellStart"/>
      <w:r>
        <w:t>scedasis</w:t>
      </w:r>
      <w:proofErr w:type="spellEnd"/>
      <w:r>
        <w:t xml:space="preserve"> </w:t>
      </w:r>
      <w:proofErr w:type="gramStart"/>
      <w:r>
        <w:t>func</w:t>
      </w:r>
      <w:r>
        <w:t>tion, and</w:t>
      </w:r>
      <w:proofErr w:type="gramEnd"/>
      <w:r>
        <w:t xml:space="preserve"> can be used for assessing how the magnitude and frequency of the extreme values can change along with a covariate. I start with the unconditional setting and show that the proposed inference methods for the </w:t>
      </w:r>
      <w:proofErr w:type="spellStart"/>
      <w:r>
        <w:t>scedasis</w:t>
      </w:r>
      <w:proofErr w:type="spellEnd"/>
      <w:r>
        <w:t xml:space="preserve"> density—based on a Bernstein–D</w:t>
      </w:r>
      <w:r>
        <w:t xml:space="preserve">irichlet prior—perform well in Monte Carlo simulation studies, are exact apart from Monte Carlo error, and have full support on the space of all continuous </w:t>
      </w:r>
      <w:proofErr w:type="spellStart"/>
      <w:r>
        <w:t>scedasis</w:t>
      </w:r>
      <w:proofErr w:type="spellEnd"/>
      <w:r>
        <w:t xml:space="preserve"> functions. I then extend the proposed methods to the conditional </w:t>
      </w:r>
      <w:proofErr w:type="gramStart"/>
      <w:r>
        <w:t>setting  using</w:t>
      </w:r>
      <w:proofErr w:type="gramEnd"/>
      <w:r>
        <w:t xml:space="preserve"> dependent s</w:t>
      </w:r>
      <w:r>
        <w:t xml:space="preserve">tick-breaking process.  </w:t>
      </w:r>
    </w:p>
    <w:p w14:paraId="5E1470DB" w14:textId="77777777" w:rsidR="00F27240" w:rsidRDefault="009E5424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513A6D4E" w14:textId="77777777" w:rsidR="00F27240" w:rsidRDefault="009E5424">
      <w:pPr>
        <w:ind w:left="-4" w:right="-14"/>
      </w:pPr>
      <w:r>
        <w:t>I resort to the proposed methodologies to examine the question: “</w:t>
      </w:r>
      <w:r>
        <w:rPr>
          <w:i/>
        </w:rPr>
        <w:t>What hides behind an extreme currency demand</w:t>
      </w:r>
      <w:r>
        <w:t xml:space="preserve">?” Data from Portugal is used to conduct the proposed inquiry. The signatures of the fitted </w:t>
      </w:r>
      <w:proofErr w:type="spellStart"/>
      <w:r>
        <w:t>scedasis</w:t>
      </w:r>
      <w:proofErr w:type="spellEnd"/>
      <w:r>
        <w:t xml:space="preserve"> densities of extrem</w:t>
      </w:r>
      <w:r>
        <w:t xml:space="preserve">e currency demand—over different denominations—reveal some interesting insights on the dynamics governing currency demand during periods of economic stress.  </w:t>
      </w:r>
    </w:p>
    <w:p w14:paraId="49802AD1" w14:textId="77777777" w:rsidR="00F27240" w:rsidRDefault="009E5424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54F779D4" w14:textId="77777777" w:rsidR="00F27240" w:rsidRDefault="009E5424">
      <w:pPr>
        <w:spacing w:after="0" w:line="259" w:lineRule="auto"/>
        <w:ind w:left="1" w:right="0" w:firstLine="0"/>
        <w:jc w:val="left"/>
      </w:pPr>
      <w:r>
        <w:t xml:space="preserve"> </w:t>
      </w:r>
    </w:p>
    <w:sectPr w:rsidR="00F27240">
      <w:footnotePr>
        <w:numRestart w:val="eachPage"/>
      </w:footnotePr>
      <w:pgSz w:w="11904" w:h="16838"/>
      <w:pgMar w:top="1440" w:right="1437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44077" w14:textId="77777777" w:rsidR="009E5424" w:rsidRDefault="009E5424">
      <w:pPr>
        <w:spacing w:after="0" w:line="240" w:lineRule="auto"/>
      </w:pPr>
      <w:r>
        <w:separator/>
      </w:r>
    </w:p>
  </w:endnote>
  <w:endnote w:type="continuationSeparator" w:id="0">
    <w:p w14:paraId="0B4DCB51" w14:textId="77777777" w:rsidR="009E5424" w:rsidRDefault="009E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495F1" w14:textId="77777777" w:rsidR="009E5424" w:rsidRDefault="009E5424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48FE9373" w14:textId="77777777" w:rsidR="009E5424" w:rsidRDefault="009E5424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02FB5638" w14:textId="77777777" w:rsidR="00F27240" w:rsidRDefault="009E5424">
      <w:pPr>
        <w:pStyle w:val="footnotedescription"/>
      </w:pPr>
      <w:r>
        <w:rPr>
          <w:rStyle w:val="footnotemark"/>
        </w:rPr>
        <w:footnoteRef/>
      </w:r>
      <w:r>
        <w:t xml:space="preserve"> Presenting author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40"/>
    <w:rsid w:val="009E5424"/>
    <w:rsid w:val="00C67CC5"/>
    <w:rsid w:val="00F2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973DF"/>
  <w15:docId w15:val="{50120640-DF47-40C9-80D7-D0665CF0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41" w:lineRule="auto"/>
      <w:ind w:left="10" w:right="8" w:hanging="1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D5D108EF-8A12-4BC0-A3B2-8E3964BDD1A3}"/>
</file>

<file path=customXml/itemProps2.xml><?xml version="1.0" encoding="utf-8"?>
<ds:datastoreItem xmlns:ds="http://schemas.openxmlformats.org/officeDocument/2006/customXml" ds:itemID="{9900F3C5-3994-481A-AB99-26FA0ED93EBC}"/>
</file>

<file path=customXml/itemProps3.xml><?xml version="1.0" encoding="utf-8"?>
<ds:datastoreItem xmlns:ds="http://schemas.openxmlformats.org/officeDocument/2006/customXml" ds:itemID="{058527F1-5406-4882-954D-417D489FB2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Junho</dc:creator>
  <cp:keywords/>
  <cp:lastModifiedBy>Jen</cp:lastModifiedBy>
  <cp:revision>2</cp:revision>
  <dcterms:created xsi:type="dcterms:W3CDTF">2020-10-28T15:56:00Z</dcterms:created>
  <dcterms:modified xsi:type="dcterms:W3CDTF">2020-10-28T15:56:00Z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