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1A34C" w14:textId="77777777" w:rsidR="00043325" w:rsidRDefault="00F81A7F">
      <w:pPr>
        <w:spacing w:after="0" w:line="259" w:lineRule="auto"/>
        <w:ind w:left="0" w:right="0" w:firstLine="0"/>
        <w:jc w:val="left"/>
      </w:pPr>
      <w:r>
        <w:rPr>
          <w:sz w:val="28"/>
        </w:rPr>
        <w:t>Paper submission for ‘</w:t>
      </w:r>
      <w:r>
        <w:rPr>
          <w:sz w:val="28"/>
        </w:rPr>
        <w:t>Credit Scoring and Credit Control Conference XVI</w:t>
      </w:r>
      <w:r>
        <w:rPr>
          <w:sz w:val="28"/>
        </w:rPr>
        <w:t>’</w:t>
      </w:r>
      <w:r>
        <w:rPr>
          <w:sz w:val="28"/>
        </w:rPr>
        <w:t xml:space="preserve"> </w:t>
      </w:r>
    </w:p>
    <w:tbl>
      <w:tblPr>
        <w:tblStyle w:val="TableGrid"/>
        <w:tblW w:w="9016" w:type="dxa"/>
        <w:tblInd w:w="6" w:type="dxa"/>
        <w:tblCellMar>
          <w:top w:w="47" w:type="dxa"/>
          <w:left w:w="107" w:type="dxa"/>
          <w:bottom w:w="0" w:type="dxa"/>
          <w:right w:w="115" w:type="dxa"/>
        </w:tblCellMar>
        <w:tblLook w:val="04A0" w:firstRow="1" w:lastRow="0" w:firstColumn="1" w:lastColumn="0" w:noHBand="0" w:noVBand="1"/>
      </w:tblPr>
      <w:tblGrid>
        <w:gridCol w:w="2546"/>
        <w:gridCol w:w="6470"/>
      </w:tblGrid>
      <w:tr w:rsidR="00043325" w14:paraId="279BFC33" w14:textId="77777777">
        <w:trPr>
          <w:trHeight w:val="815"/>
        </w:trPr>
        <w:tc>
          <w:tcPr>
            <w:tcW w:w="2546" w:type="dxa"/>
            <w:tcBorders>
              <w:top w:val="single" w:sz="4" w:space="0" w:color="000000"/>
              <w:left w:val="single" w:sz="4" w:space="0" w:color="000000"/>
              <w:bottom w:val="single" w:sz="4" w:space="0" w:color="000000"/>
              <w:right w:val="single" w:sz="4" w:space="0" w:color="000000"/>
            </w:tcBorders>
            <w:shd w:val="clear" w:color="auto" w:fill="B4C6E7"/>
          </w:tcPr>
          <w:p w14:paraId="2FD27B31" w14:textId="77777777" w:rsidR="00043325" w:rsidRDefault="00F81A7F">
            <w:pPr>
              <w:spacing w:after="0" w:line="259" w:lineRule="auto"/>
              <w:ind w:left="0" w:right="0" w:firstLine="0"/>
              <w:jc w:val="left"/>
            </w:pPr>
            <w:r>
              <w:rPr>
                <w:b/>
              </w:rPr>
              <w:t xml:space="preserve">Full title: </w:t>
            </w:r>
          </w:p>
        </w:tc>
        <w:tc>
          <w:tcPr>
            <w:tcW w:w="6470" w:type="dxa"/>
            <w:tcBorders>
              <w:top w:val="single" w:sz="4" w:space="0" w:color="000000"/>
              <w:left w:val="single" w:sz="4" w:space="0" w:color="000000"/>
              <w:bottom w:val="single" w:sz="4" w:space="0" w:color="000000"/>
              <w:right w:val="single" w:sz="4" w:space="0" w:color="000000"/>
            </w:tcBorders>
            <w:shd w:val="clear" w:color="auto" w:fill="B4C6E7"/>
          </w:tcPr>
          <w:p w14:paraId="38CCE5E3" w14:textId="77777777" w:rsidR="00043325" w:rsidRDefault="00F81A7F">
            <w:pPr>
              <w:spacing w:after="0" w:line="259" w:lineRule="auto"/>
              <w:ind w:left="1" w:right="0" w:firstLine="0"/>
              <w:jc w:val="left"/>
            </w:pPr>
            <w:r>
              <w:rPr>
                <w:b/>
              </w:rPr>
              <w:t xml:space="preserve">The impact of credit limit on credit card expenditure and risk of default or persistent debt  </w:t>
            </w:r>
          </w:p>
        </w:tc>
      </w:tr>
      <w:tr w:rsidR="00043325" w14:paraId="0474946C" w14:textId="77777777">
        <w:trPr>
          <w:trHeight w:val="433"/>
        </w:trPr>
        <w:tc>
          <w:tcPr>
            <w:tcW w:w="2546" w:type="dxa"/>
            <w:tcBorders>
              <w:top w:val="single" w:sz="4" w:space="0" w:color="000000"/>
              <w:left w:val="single" w:sz="4" w:space="0" w:color="666666"/>
              <w:bottom w:val="single" w:sz="4" w:space="0" w:color="666666"/>
              <w:right w:val="single" w:sz="4" w:space="0" w:color="666666"/>
            </w:tcBorders>
            <w:shd w:val="clear" w:color="auto" w:fill="CCCCCC"/>
          </w:tcPr>
          <w:p w14:paraId="2626F5FD" w14:textId="77777777" w:rsidR="00043325" w:rsidRDefault="00F81A7F">
            <w:pPr>
              <w:spacing w:after="0" w:line="259" w:lineRule="auto"/>
              <w:ind w:left="0" w:right="0" w:firstLine="0"/>
              <w:jc w:val="left"/>
            </w:pPr>
            <w:r>
              <w:rPr>
                <w:b/>
              </w:rPr>
              <w:t xml:space="preserve">Article Type: </w:t>
            </w:r>
          </w:p>
        </w:tc>
        <w:tc>
          <w:tcPr>
            <w:tcW w:w="6470" w:type="dxa"/>
            <w:tcBorders>
              <w:top w:val="single" w:sz="4" w:space="0" w:color="000000"/>
              <w:left w:val="single" w:sz="4" w:space="0" w:color="666666"/>
              <w:bottom w:val="single" w:sz="4" w:space="0" w:color="666666"/>
              <w:right w:val="single" w:sz="4" w:space="0" w:color="000000"/>
            </w:tcBorders>
            <w:shd w:val="clear" w:color="auto" w:fill="CCCCCC"/>
          </w:tcPr>
          <w:p w14:paraId="3FB7ACFF" w14:textId="77777777" w:rsidR="00043325" w:rsidRDefault="00F81A7F">
            <w:pPr>
              <w:spacing w:after="0" w:line="259" w:lineRule="auto"/>
              <w:ind w:left="1" w:right="0" w:firstLine="0"/>
              <w:jc w:val="left"/>
            </w:pPr>
            <w:r>
              <w:t xml:space="preserve">Original Research </w:t>
            </w:r>
          </w:p>
        </w:tc>
      </w:tr>
      <w:tr w:rsidR="00043325" w14:paraId="22D9416A" w14:textId="77777777">
        <w:trPr>
          <w:trHeight w:val="1222"/>
        </w:trPr>
        <w:tc>
          <w:tcPr>
            <w:tcW w:w="2546" w:type="dxa"/>
            <w:tcBorders>
              <w:top w:val="single" w:sz="4" w:space="0" w:color="666666"/>
              <w:left w:val="single" w:sz="4" w:space="0" w:color="666666"/>
              <w:bottom w:val="single" w:sz="4" w:space="0" w:color="666666"/>
              <w:right w:val="single" w:sz="4" w:space="0" w:color="666666"/>
            </w:tcBorders>
          </w:tcPr>
          <w:p w14:paraId="076EA84A" w14:textId="77777777" w:rsidR="00043325" w:rsidRDefault="00F81A7F">
            <w:pPr>
              <w:spacing w:after="0" w:line="259" w:lineRule="auto"/>
              <w:ind w:left="0" w:right="0" w:firstLine="0"/>
              <w:jc w:val="left"/>
            </w:pPr>
            <w:r>
              <w:rPr>
                <w:b/>
              </w:rPr>
              <w:t xml:space="preserve">Keywords:  </w:t>
            </w:r>
          </w:p>
        </w:tc>
        <w:tc>
          <w:tcPr>
            <w:tcW w:w="6470" w:type="dxa"/>
            <w:tcBorders>
              <w:top w:val="single" w:sz="4" w:space="0" w:color="666666"/>
              <w:left w:val="single" w:sz="4" w:space="0" w:color="666666"/>
              <w:bottom w:val="single" w:sz="4" w:space="0" w:color="666666"/>
              <w:right w:val="single" w:sz="4" w:space="0" w:color="000000"/>
            </w:tcBorders>
          </w:tcPr>
          <w:p w14:paraId="3B3AC313" w14:textId="77777777" w:rsidR="00043325" w:rsidRDefault="00F81A7F">
            <w:pPr>
              <w:spacing w:after="2" w:line="357" w:lineRule="auto"/>
              <w:ind w:left="1" w:right="0" w:firstLine="0"/>
              <w:jc w:val="left"/>
            </w:pPr>
            <w:r>
              <w:t xml:space="preserve">Credit limit; </w:t>
            </w:r>
            <w:r>
              <w:t xml:space="preserve">Credit expenditure; Risk of default; Risk of persistent debt; Systematic minimum repayment behaviour; Zero-adjusted </w:t>
            </w:r>
          </w:p>
          <w:p w14:paraId="585A7F7A" w14:textId="77777777" w:rsidR="00043325" w:rsidRDefault="00F81A7F">
            <w:pPr>
              <w:spacing w:after="0" w:line="259" w:lineRule="auto"/>
              <w:ind w:left="1" w:right="0" w:firstLine="0"/>
              <w:jc w:val="left"/>
            </w:pPr>
            <w:r>
              <w:t xml:space="preserve">Gamma Regression Model (ZAGA) </w:t>
            </w:r>
          </w:p>
        </w:tc>
      </w:tr>
      <w:tr w:rsidR="00043325" w14:paraId="08086550" w14:textId="77777777">
        <w:trPr>
          <w:trHeight w:val="1621"/>
        </w:trPr>
        <w:tc>
          <w:tcPr>
            <w:tcW w:w="2546" w:type="dxa"/>
            <w:tcBorders>
              <w:top w:val="single" w:sz="4" w:space="0" w:color="666666"/>
              <w:left w:val="single" w:sz="4" w:space="0" w:color="666666"/>
              <w:bottom w:val="single" w:sz="4" w:space="0" w:color="666666"/>
              <w:right w:val="single" w:sz="4" w:space="0" w:color="666666"/>
            </w:tcBorders>
            <w:shd w:val="clear" w:color="auto" w:fill="CCCCCC"/>
          </w:tcPr>
          <w:p w14:paraId="03AF4E09" w14:textId="77777777" w:rsidR="00043325" w:rsidRDefault="00F81A7F">
            <w:pPr>
              <w:spacing w:after="0" w:line="259" w:lineRule="auto"/>
              <w:ind w:left="0" w:right="0" w:firstLine="0"/>
              <w:jc w:val="left"/>
            </w:pPr>
            <w:r>
              <w:rPr>
                <w:b/>
              </w:rPr>
              <w:t xml:space="preserve">Corresponding Author: </w:t>
            </w:r>
          </w:p>
        </w:tc>
        <w:tc>
          <w:tcPr>
            <w:tcW w:w="6470" w:type="dxa"/>
            <w:tcBorders>
              <w:top w:val="single" w:sz="4" w:space="0" w:color="666666"/>
              <w:left w:val="single" w:sz="4" w:space="0" w:color="666666"/>
              <w:bottom w:val="single" w:sz="4" w:space="0" w:color="666666"/>
              <w:right w:val="single" w:sz="4" w:space="0" w:color="000000"/>
            </w:tcBorders>
            <w:shd w:val="clear" w:color="auto" w:fill="CCCCCC"/>
          </w:tcPr>
          <w:p w14:paraId="77517087" w14:textId="77777777" w:rsidR="00043325" w:rsidRDefault="00F81A7F">
            <w:pPr>
              <w:spacing w:after="112" w:line="259" w:lineRule="auto"/>
              <w:ind w:left="1" w:right="0" w:firstLine="0"/>
              <w:jc w:val="left"/>
            </w:pPr>
            <w:r>
              <w:t xml:space="preserve">MARYAM REZAEI </w:t>
            </w:r>
          </w:p>
          <w:p w14:paraId="0A56F344" w14:textId="77777777" w:rsidR="00043325" w:rsidRDefault="00F81A7F">
            <w:pPr>
              <w:spacing w:after="113" w:line="259" w:lineRule="auto"/>
              <w:ind w:left="1" w:right="0" w:firstLine="0"/>
              <w:jc w:val="left"/>
            </w:pPr>
            <w:r>
              <w:t xml:space="preserve">m.rezaei@soton.ac.uk </w:t>
            </w:r>
          </w:p>
          <w:p w14:paraId="44BF33DF" w14:textId="77777777" w:rsidR="00043325" w:rsidRDefault="00F81A7F">
            <w:pPr>
              <w:spacing w:after="112" w:line="259" w:lineRule="auto"/>
              <w:ind w:left="1" w:right="0" w:firstLine="0"/>
              <w:jc w:val="left"/>
            </w:pPr>
            <w:r>
              <w:t xml:space="preserve">University of Southampton </w:t>
            </w:r>
          </w:p>
          <w:p w14:paraId="7635C661" w14:textId="77777777" w:rsidR="00043325" w:rsidRDefault="00F81A7F">
            <w:pPr>
              <w:spacing w:after="0" w:line="259" w:lineRule="auto"/>
              <w:ind w:left="1" w:right="0" w:firstLine="0"/>
              <w:jc w:val="left"/>
            </w:pPr>
            <w:r>
              <w:t xml:space="preserve">Southampton, United Kingdom </w:t>
            </w:r>
          </w:p>
        </w:tc>
      </w:tr>
      <w:tr w:rsidR="00043325" w14:paraId="7AAFFC7F" w14:textId="77777777">
        <w:trPr>
          <w:trHeight w:val="1220"/>
        </w:trPr>
        <w:tc>
          <w:tcPr>
            <w:tcW w:w="2546" w:type="dxa"/>
            <w:vMerge w:val="restart"/>
            <w:tcBorders>
              <w:top w:val="single" w:sz="4" w:space="0" w:color="666666"/>
              <w:left w:val="single" w:sz="4" w:space="0" w:color="666666"/>
              <w:bottom w:val="single" w:sz="4" w:space="0" w:color="666666"/>
              <w:right w:val="single" w:sz="4" w:space="0" w:color="666666"/>
            </w:tcBorders>
          </w:tcPr>
          <w:p w14:paraId="45235B18" w14:textId="77777777" w:rsidR="00043325" w:rsidRDefault="00F81A7F">
            <w:pPr>
              <w:spacing w:after="0" w:line="259" w:lineRule="auto"/>
              <w:ind w:left="0" w:right="0" w:firstLine="0"/>
              <w:jc w:val="left"/>
            </w:pPr>
            <w:r>
              <w:rPr>
                <w:b/>
              </w:rPr>
              <w:t xml:space="preserve">Authors Information: </w:t>
            </w:r>
          </w:p>
        </w:tc>
        <w:tc>
          <w:tcPr>
            <w:tcW w:w="6470" w:type="dxa"/>
            <w:tcBorders>
              <w:top w:val="single" w:sz="4" w:space="0" w:color="666666"/>
              <w:left w:val="single" w:sz="4" w:space="0" w:color="666666"/>
              <w:bottom w:val="single" w:sz="4" w:space="0" w:color="666666"/>
              <w:right w:val="single" w:sz="4" w:space="0" w:color="000000"/>
            </w:tcBorders>
          </w:tcPr>
          <w:p w14:paraId="786A87EC" w14:textId="77777777" w:rsidR="00043325" w:rsidRDefault="00F81A7F">
            <w:pPr>
              <w:spacing w:after="112" w:line="259" w:lineRule="auto"/>
              <w:ind w:left="1" w:right="0" w:firstLine="0"/>
              <w:jc w:val="left"/>
            </w:pPr>
            <w:r>
              <w:t xml:space="preserve">Maryam Rezaei </w:t>
            </w:r>
          </w:p>
          <w:p w14:paraId="29ED71A1" w14:textId="77777777" w:rsidR="00043325" w:rsidRDefault="00F81A7F">
            <w:pPr>
              <w:spacing w:after="112" w:line="259" w:lineRule="auto"/>
              <w:ind w:left="1" w:right="0" w:firstLine="0"/>
              <w:jc w:val="left"/>
            </w:pPr>
            <w:r>
              <w:rPr>
                <w:color w:val="0563C1"/>
                <w:u w:val="single" w:color="0563C1"/>
              </w:rPr>
              <w:t>Email: M.rezaei@soton.ac.uk</w:t>
            </w:r>
            <w:r>
              <w:rPr>
                <w:color w:val="0563C1"/>
              </w:rPr>
              <w:t xml:space="preserve"> </w:t>
            </w:r>
          </w:p>
          <w:p w14:paraId="152D01EF" w14:textId="77777777" w:rsidR="00043325" w:rsidRDefault="00F81A7F">
            <w:pPr>
              <w:spacing w:after="0" w:line="259" w:lineRule="auto"/>
              <w:ind w:left="1" w:right="0" w:firstLine="0"/>
              <w:jc w:val="left"/>
            </w:pPr>
            <w:r>
              <w:t xml:space="preserve">Phone: +44 749 186 9900 </w:t>
            </w:r>
          </w:p>
        </w:tc>
      </w:tr>
      <w:tr w:rsidR="00043325" w14:paraId="77474487" w14:textId="77777777">
        <w:trPr>
          <w:trHeight w:val="1216"/>
        </w:trPr>
        <w:tc>
          <w:tcPr>
            <w:tcW w:w="0" w:type="auto"/>
            <w:vMerge/>
            <w:tcBorders>
              <w:top w:val="nil"/>
              <w:left w:val="single" w:sz="4" w:space="0" w:color="666666"/>
              <w:bottom w:val="nil"/>
              <w:right w:val="single" w:sz="4" w:space="0" w:color="666666"/>
            </w:tcBorders>
          </w:tcPr>
          <w:p w14:paraId="4C7689B3" w14:textId="77777777" w:rsidR="00043325" w:rsidRDefault="00043325">
            <w:pPr>
              <w:spacing w:after="160" w:line="259" w:lineRule="auto"/>
              <w:ind w:left="0" w:right="0" w:firstLine="0"/>
              <w:jc w:val="left"/>
            </w:pPr>
          </w:p>
        </w:tc>
        <w:tc>
          <w:tcPr>
            <w:tcW w:w="6470" w:type="dxa"/>
            <w:tcBorders>
              <w:top w:val="single" w:sz="4" w:space="0" w:color="666666"/>
              <w:left w:val="single" w:sz="4" w:space="0" w:color="666666"/>
              <w:bottom w:val="single" w:sz="4" w:space="0" w:color="666666"/>
              <w:right w:val="single" w:sz="4" w:space="0" w:color="000000"/>
            </w:tcBorders>
            <w:shd w:val="clear" w:color="auto" w:fill="CCCCCC"/>
          </w:tcPr>
          <w:p w14:paraId="7A8D71B7" w14:textId="77777777" w:rsidR="00043325" w:rsidRDefault="00F81A7F">
            <w:pPr>
              <w:spacing w:after="110" w:line="259" w:lineRule="auto"/>
              <w:ind w:left="1" w:right="0" w:firstLine="0"/>
              <w:jc w:val="left"/>
            </w:pPr>
            <w:r>
              <w:t xml:space="preserve">Dr </w:t>
            </w:r>
            <w:proofErr w:type="spellStart"/>
            <w:r>
              <w:t>Mee</w:t>
            </w:r>
            <w:proofErr w:type="spellEnd"/>
            <w:r>
              <w:t xml:space="preserve"> Chi So </w:t>
            </w:r>
          </w:p>
          <w:p w14:paraId="1F506395" w14:textId="77777777" w:rsidR="00043325" w:rsidRDefault="00F81A7F">
            <w:pPr>
              <w:spacing w:after="112" w:line="259" w:lineRule="auto"/>
              <w:ind w:left="1" w:right="0" w:firstLine="0"/>
              <w:jc w:val="left"/>
            </w:pPr>
            <w:r>
              <w:rPr>
                <w:color w:val="0563C1"/>
                <w:u w:val="single" w:color="0563C1"/>
              </w:rPr>
              <w:t>Email: M.So@soton.ac.uk</w:t>
            </w:r>
            <w:r>
              <w:rPr>
                <w:color w:val="0563C1"/>
              </w:rPr>
              <w:t xml:space="preserve"> </w:t>
            </w:r>
          </w:p>
          <w:p w14:paraId="6A090665" w14:textId="77777777" w:rsidR="00043325" w:rsidRDefault="00F81A7F">
            <w:pPr>
              <w:spacing w:after="0" w:line="259" w:lineRule="auto"/>
              <w:ind w:left="1" w:right="0" w:firstLine="0"/>
              <w:jc w:val="left"/>
            </w:pPr>
            <w:r>
              <w:t>Phone: +44 23 8059 8964</w:t>
            </w:r>
            <w:r>
              <w:rPr>
                <w:b/>
              </w:rPr>
              <w:t xml:space="preserve"> </w:t>
            </w:r>
          </w:p>
        </w:tc>
      </w:tr>
      <w:tr w:rsidR="00043325" w14:paraId="23D335A7" w14:textId="77777777">
        <w:trPr>
          <w:trHeight w:val="1221"/>
        </w:trPr>
        <w:tc>
          <w:tcPr>
            <w:tcW w:w="0" w:type="auto"/>
            <w:vMerge/>
            <w:tcBorders>
              <w:top w:val="nil"/>
              <w:left w:val="single" w:sz="4" w:space="0" w:color="666666"/>
              <w:bottom w:val="single" w:sz="4" w:space="0" w:color="666666"/>
              <w:right w:val="single" w:sz="4" w:space="0" w:color="666666"/>
            </w:tcBorders>
          </w:tcPr>
          <w:p w14:paraId="041CE835" w14:textId="77777777" w:rsidR="00043325" w:rsidRDefault="00043325">
            <w:pPr>
              <w:spacing w:after="160" w:line="259" w:lineRule="auto"/>
              <w:ind w:left="0" w:right="0" w:firstLine="0"/>
              <w:jc w:val="left"/>
            </w:pPr>
          </w:p>
        </w:tc>
        <w:tc>
          <w:tcPr>
            <w:tcW w:w="6470" w:type="dxa"/>
            <w:tcBorders>
              <w:top w:val="single" w:sz="4" w:space="0" w:color="666666"/>
              <w:left w:val="single" w:sz="4" w:space="0" w:color="666666"/>
              <w:bottom w:val="single" w:sz="4" w:space="0" w:color="666666"/>
              <w:right w:val="single" w:sz="4" w:space="0" w:color="000000"/>
            </w:tcBorders>
          </w:tcPr>
          <w:p w14:paraId="6404E1CA" w14:textId="77777777" w:rsidR="00043325" w:rsidRDefault="00F81A7F">
            <w:pPr>
              <w:spacing w:after="112" w:line="259" w:lineRule="auto"/>
              <w:ind w:left="1" w:right="0" w:firstLine="0"/>
              <w:jc w:val="left"/>
            </w:pPr>
            <w:r>
              <w:t xml:space="preserve">Professor Christophe </w:t>
            </w:r>
            <w:proofErr w:type="spellStart"/>
            <w:r>
              <w:t>Mues</w:t>
            </w:r>
            <w:proofErr w:type="spellEnd"/>
            <w:r>
              <w:t xml:space="preserve"> </w:t>
            </w:r>
          </w:p>
          <w:p w14:paraId="2A56E67D" w14:textId="77777777" w:rsidR="00043325" w:rsidRDefault="00F81A7F">
            <w:pPr>
              <w:spacing w:after="113" w:line="259" w:lineRule="auto"/>
              <w:ind w:left="1" w:right="0" w:firstLine="0"/>
              <w:jc w:val="left"/>
            </w:pPr>
            <w:r>
              <w:rPr>
                <w:color w:val="0563C1"/>
                <w:u w:val="single" w:color="0563C1"/>
              </w:rPr>
              <w:t>Email: C.Mues@soton.ac.uk</w:t>
            </w:r>
            <w:r>
              <w:rPr>
                <w:color w:val="0563C1"/>
              </w:rPr>
              <w:t xml:space="preserve"> </w:t>
            </w:r>
          </w:p>
          <w:p w14:paraId="62D516A9" w14:textId="77777777" w:rsidR="00043325" w:rsidRDefault="00F81A7F">
            <w:pPr>
              <w:spacing w:after="0" w:line="259" w:lineRule="auto"/>
              <w:ind w:left="1" w:right="0" w:firstLine="0"/>
              <w:jc w:val="left"/>
            </w:pPr>
            <w:r>
              <w:t>Phone: +44 23 8059 2561</w:t>
            </w:r>
            <w:r>
              <w:rPr>
                <w:color w:val="0563C1"/>
              </w:rPr>
              <w:t xml:space="preserve"> </w:t>
            </w:r>
          </w:p>
        </w:tc>
      </w:tr>
    </w:tbl>
    <w:p w14:paraId="78BDFC7D" w14:textId="77777777" w:rsidR="00043325" w:rsidRDefault="00F81A7F">
      <w:pPr>
        <w:spacing w:after="0" w:line="259" w:lineRule="auto"/>
        <w:ind w:left="0" w:right="0" w:firstLine="0"/>
        <w:jc w:val="left"/>
      </w:pPr>
      <w:r>
        <w:rPr>
          <w:sz w:val="24"/>
        </w:rPr>
        <w:t xml:space="preserve"> </w:t>
      </w:r>
      <w:r>
        <w:rPr>
          <w:sz w:val="24"/>
        </w:rPr>
        <w:tab/>
        <w:t xml:space="preserve"> </w:t>
      </w:r>
    </w:p>
    <w:p w14:paraId="2B8C49C9" w14:textId="77777777" w:rsidR="00043325" w:rsidRDefault="00F81A7F">
      <w:pPr>
        <w:spacing w:after="84" w:line="259" w:lineRule="auto"/>
        <w:ind w:left="10" w:right="0" w:hanging="10"/>
        <w:jc w:val="left"/>
      </w:pPr>
      <w:r>
        <w:rPr>
          <w:color w:val="2E74B5"/>
          <w:sz w:val="28"/>
        </w:rPr>
        <w:t xml:space="preserve">Abstract: </w:t>
      </w:r>
    </w:p>
    <w:p w14:paraId="3FF77FF5" w14:textId="77777777" w:rsidR="00043325" w:rsidRDefault="00F81A7F">
      <w:pPr>
        <w:spacing w:after="271" w:line="259" w:lineRule="auto"/>
        <w:ind w:left="0" w:right="0" w:firstLine="0"/>
        <w:jc w:val="left"/>
      </w:pPr>
      <w:r>
        <w:t xml:space="preserve"> </w:t>
      </w:r>
    </w:p>
    <w:p w14:paraId="14F4AEFA" w14:textId="77777777" w:rsidR="00043325" w:rsidRDefault="00F81A7F">
      <w:pPr>
        <w:spacing w:after="0"/>
        <w:ind w:left="0" w:right="0" w:firstLine="0"/>
      </w:pPr>
      <w:r>
        <w:t xml:space="preserve">A key policy decision that credit card lenders need to tackle is granting appropriate credit limits to </w:t>
      </w:r>
      <w:r>
        <w:t>their customers. The credit limit should be consistent with the financial capacities of each customer and consider both the profitability and risk implications. On the one hand, offering higher credit may encourage customers to increase the amount of their</w:t>
      </w:r>
      <w:r>
        <w:t xml:space="preserve"> spending but it may also increase the risk of persistent debt or eventually, default for some segments of customers. </w:t>
      </w:r>
    </w:p>
    <w:p w14:paraId="09E95F8D" w14:textId="77777777" w:rsidR="00043325" w:rsidRDefault="00F81A7F">
      <w:pPr>
        <w:spacing w:after="0"/>
        <w:ind w:left="0" w:right="0" w:firstLine="0"/>
      </w:pPr>
      <w:r>
        <w:t xml:space="preserve">In this paper, we intend to investigate the impact of the </w:t>
      </w:r>
      <w:r>
        <w:t>credit card limit on customers’ expenditure</w:t>
      </w:r>
      <w:r>
        <w:t xml:space="preserve"> and risk of default or persistent d</w:t>
      </w:r>
      <w:r>
        <w:t xml:space="preserve">ebt. We use a real-life dataset from a major bank in Hong Kong with more than one million </w:t>
      </w:r>
      <w:r>
        <w:t xml:space="preserve">accounts’ monthly </w:t>
      </w:r>
      <w:r>
        <w:t>credit card use from 2002 to 2007. Since there was an economic recession in Hong Kong during this period, we also look at the difference in consumer</w:t>
      </w:r>
      <w:r>
        <w:t xml:space="preserve"> spending/risk and its relation to the credit limit during and after the recession. </w:t>
      </w:r>
    </w:p>
    <w:p w14:paraId="59035693" w14:textId="77777777" w:rsidR="00043325" w:rsidRDefault="00F81A7F">
      <w:pPr>
        <w:spacing w:after="15"/>
        <w:ind w:left="0" w:right="0" w:firstLine="0"/>
      </w:pPr>
      <w:r>
        <w:lastRenderedPageBreak/>
        <w:t>We consider different models such as ordinary least squares regression and zero-adjusted Gamma regression to examine the impact of credit limit on spending along with othe</w:t>
      </w:r>
      <w:r>
        <w:t xml:space="preserve">r factors such as credit </w:t>
      </w:r>
      <w:r>
        <w:t xml:space="preserve">balance, customers’ </w:t>
      </w:r>
      <w:r>
        <w:t xml:space="preserve">previous payments, behavioural score and time on book. We will demonstrate how the proposed methods are useful for customer segmentation and how they can inform the </w:t>
      </w:r>
      <w:r>
        <w:t xml:space="preserve">lender’s credit limit policy. </w:t>
      </w:r>
      <w:r>
        <w:t xml:space="preserve"> </w:t>
      </w:r>
    </w:p>
    <w:p w14:paraId="701D21A3" w14:textId="77777777" w:rsidR="00043325" w:rsidRDefault="00F81A7F">
      <w:pPr>
        <w:spacing w:after="0" w:line="259" w:lineRule="auto"/>
        <w:ind w:left="0" w:right="0" w:firstLine="0"/>
        <w:jc w:val="left"/>
      </w:pPr>
      <w:r>
        <w:t xml:space="preserve"> </w:t>
      </w:r>
      <w:r>
        <w:tab/>
        <w:t xml:space="preserve"> </w:t>
      </w:r>
    </w:p>
    <w:p w14:paraId="28A05B0F" w14:textId="77777777" w:rsidR="00043325" w:rsidRDefault="00F81A7F">
      <w:pPr>
        <w:spacing w:after="84" w:line="259" w:lineRule="auto"/>
        <w:ind w:left="355" w:right="0" w:hanging="10"/>
        <w:jc w:val="left"/>
      </w:pPr>
      <w:r>
        <w:rPr>
          <w:color w:val="2E74B5"/>
          <w:sz w:val="28"/>
        </w:rPr>
        <w:t>1.</w:t>
      </w:r>
      <w:r>
        <w:rPr>
          <w:rFonts w:ascii="Arial" w:eastAsia="Arial" w:hAnsi="Arial" w:cs="Arial"/>
          <w:b/>
          <w:color w:val="2E74B5"/>
          <w:sz w:val="28"/>
        </w:rPr>
        <w:t xml:space="preserve"> </w:t>
      </w:r>
      <w:r>
        <w:rPr>
          <w:color w:val="2E74B5"/>
          <w:sz w:val="28"/>
        </w:rPr>
        <w:t xml:space="preserve">Definitions: </w:t>
      </w:r>
    </w:p>
    <w:p w14:paraId="2AD21735" w14:textId="77777777" w:rsidR="00043325" w:rsidRDefault="00F81A7F">
      <w:pPr>
        <w:spacing w:after="194"/>
        <w:ind w:left="0" w:right="0" w:firstLine="0"/>
      </w:pPr>
      <w:r>
        <w:t>A recent FCA Study (FCA, 2017)</w:t>
      </w:r>
      <w:r>
        <w:rPr>
          <w:vertAlign w:val="superscript"/>
        </w:rPr>
        <w:footnoteReference w:id="1"/>
      </w:r>
      <w:r>
        <w:t xml:space="preserve"> identifies four different arrears-based indicators of potentially problematic credit card debts: </w:t>
      </w:r>
    </w:p>
    <w:p w14:paraId="58D10E0A" w14:textId="77777777" w:rsidR="00043325" w:rsidRDefault="00F81A7F">
      <w:pPr>
        <w:numPr>
          <w:ilvl w:val="0"/>
          <w:numId w:val="2"/>
        </w:numPr>
        <w:ind w:right="0" w:hanging="360"/>
      </w:pPr>
      <w:r>
        <w:rPr>
          <w:b/>
        </w:rPr>
        <w:t>Severe arrears</w:t>
      </w:r>
      <w:r>
        <w:t xml:space="preserve">: Consumers whose debt amount is unlikely to be collected and have been charged-off. </w:t>
      </w:r>
    </w:p>
    <w:p w14:paraId="671481E7" w14:textId="77777777" w:rsidR="00043325" w:rsidRDefault="00F81A7F">
      <w:pPr>
        <w:numPr>
          <w:ilvl w:val="0"/>
          <w:numId w:val="2"/>
        </w:numPr>
        <w:ind w:right="0" w:hanging="360"/>
      </w:pPr>
      <w:r>
        <w:rPr>
          <w:b/>
        </w:rPr>
        <w:t>Serious arr</w:t>
      </w:r>
      <w:r>
        <w:rPr>
          <w:b/>
        </w:rPr>
        <w:t>ears</w:t>
      </w:r>
      <w:r>
        <w:t xml:space="preserve">: Consumers who have missed three or more repayments and are going to default.   </w:t>
      </w:r>
    </w:p>
    <w:p w14:paraId="18C866D1" w14:textId="77777777" w:rsidR="00043325" w:rsidRDefault="00F81A7F">
      <w:pPr>
        <w:numPr>
          <w:ilvl w:val="0"/>
          <w:numId w:val="2"/>
        </w:numPr>
        <w:ind w:right="0" w:hanging="360"/>
      </w:pPr>
      <w:r>
        <w:rPr>
          <w:b/>
        </w:rPr>
        <w:t>Persistent debt:</w:t>
      </w:r>
      <w:r>
        <w:t xml:space="preserve"> Consumers that have an average credit limit utilisation of 90% or more while also incurring interest charges are categorised as being in persistent debt.</w:t>
      </w:r>
      <w:r>
        <w:t xml:space="preserve"> Alternative thresholds for defining persistent debt include a 50% or 75% utilisation rate. </w:t>
      </w:r>
    </w:p>
    <w:p w14:paraId="5B1D28FB" w14:textId="77777777" w:rsidR="00043325" w:rsidRDefault="00F81A7F">
      <w:pPr>
        <w:numPr>
          <w:ilvl w:val="0"/>
          <w:numId w:val="2"/>
        </w:numPr>
        <w:spacing w:after="340"/>
        <w:ind w:right="0" w:hanging="360"/>
      </w:pPr>
      <w:r>
        <w:rPr>
          <w:b/>
        </w:rPr>
        <w:t>Systematic minimum repayments:</w:t>
      </w:r>
      <w:r>
        <w:t xml:space="preserve"> The last arrears type are consumers that have made nine or more minimum repayments over the course of the year, while also incurring</w:t>
      </w:r>
      <w:r>
        <w:t xml:space="preserve"> interest charges. </w:t>
      </w:r>
    </w:p>
    <w:p w14:paraId="08BA02D9" w14:textId="77777777" w:rsidR="00043325" w:rsidRDefault="00F81A7F">
      <w:pPr>
        <w:spacing w:after="84" w:line="259" w:lineRule="auto"/>
        <w:ind w:left="355" w:right="0" w:hanging="10"/>
        <w:jc w:val="left"/>
      </w:pPr>
      <w:r>
        <w:rPr>
          <w:color w:val="2E74B5"/>
          <w:sz w:val="28"/>
        </w:rPr>
        <w:t>2.</w:t>
      </w:r>
      <w:r>
        <w:rPr>
          <w:rFonts w:ascii="Arial" w:eastAsia="Arial" w:hAnsi="Arial" w:cs="Arial"/>
          <w:b/>
          <w:color w:val="2E74B5"/>
          <w:sz w:val="28"/>
        </w:rPr>
        <w:t xml:space="preserve"> </w:t>
      </w:r>
      <w:r>
        <w:rPr>
          <w:color w:val="2E74B5"/>
          <w:sz w:val="28"/>
        </w:rPr>
        <w:t xml:space="preserve">What will be presented at the talk: </w:t>
      </w:r>
    </w:p>
    <w:p w14:paraId="630BF441" w14:textId="77777777" w:rsidR="00043325" w:rsidRDefault="00F81A7F">
      <w:pPr>
        <w:spacing w:after="204"/>
        <w:ind w:left="0" w:right="0" w:firstLine="0"/>
      </w:pPr>
      <w:r>
        <w:t xml:space="preserve">Several models will be proposed to examine the impact of </w:t>
      </w:r>
      <w:r>
        <w:rPr>
          <w:b/>
        </w:rPr>
        <w:t>credit limit</w:t>
      </w:r>
      <w:r>
        <w:t xml:space="preserve"> </w:t>
      </w:r>
      <w:r>
        <w:t xml:space="preserve">on credit card holders’ </w:t>
      </w:r>
      <w:r>
        <w:t>purchasing amount, systematic minimum repayment behaviour, the risk of default and the risk of being i</w:t>
      </w:r>
      <w:r>
        <w:t xml:space="preserve">n persistent debt.  </w:t>
      </w:r>
    </w:p>
    <w:p w14:paraId="5CA64F02" w14:textId="77777777" w:rsidR="00043325" w:rsidRDefault="00F81A7F">
      <w:pPr>
        <w:numPr>
          <w:ilvl w:val="0"/>
          <w:numId w:val="1"/>
        </w:numPr>
        <w:ind w:right="0" w:hanging="360"/>
      </w:pPr>
      <w:r>
        <w:t>To the best of our knowledge, this paper is one of the first studies into modelling card expenditure instead of card balance. Moreover, this would be the first academic paper exploring systematic minimum repayment behaviour and forecasting the risk of pers</w:t>
      </w:r>
      <w:r>
        <w:t xml:space="preserve">istent debt.  </w:t>
      </w:r>
    </w:p>
    <w:p w14:paraId="7331E10E" w14:textId="77777777" w:rsidR="00043325" w:rsidRDefault="00F81A7F">
      <w:pPr>
        <w:numPr>
          <w:ilvl w:val="0"/>
          <w:numId w:val="1"/>
        </w:numPr>
        <w:spacing w:after="118" w:line="259" w:lineRule="auto"/>
        <w:ind w:right="0" w:hanging="360"/>
      </w:pPr>
      <w:r>
        <w:t xml:space="preserve">The drivers of this study are: </w:t>
      </w:r>
    </w:p>
    <w:p w14:paraId="5B93D46A" w14:textId="77777777" w:rsidR="00043325" w:rsidRDefault="00F81A7F">
      <w:pPr>
        <w:numPr>
          <w:ilvl w:val="1"/>
          <w:numId w:val="1"/>
        </w:numPr>
        <w:ind w:right="0" w:hanging="360"/>
      </w:pPr>
      <w:r>
        <w:t xml:space="preserve">FCA’s obligation for credit card lenders to </w:t>
      </w:r>
      <w:r>
        <w:t xml:space="preserve">identify customers at risk of financial difficulty and take appropriate action by earlier intervention </w:t>
      </w:r>
    </w:p>
    <w:p w14:paraId="5148C9F0" w14:textId="77777777" w:rsidR="00043325" w:rsidRDefault="00F81A7F">
      <w:pPr>
        <w:numPr>
          <w:ilvl w:val="1"/>
          <w:numId w:val="1"/>
        </w:numPr>
        <w:ind w:right="0" w:hanging="360"/>
      </w:pPr>
      <w:r>
        <w:lastRenderedPageBreak/>
        <w:t>The importance of accurate revenue prediction, credit limit a</w:t>
      </w:r>
      <w:r>
        <w:t xml:space="preserve">llocation strategy and optimal customer risk management for credit card lenders. </w:t>
      </w:r>
    </w:p>
    <w:p w14:paraId="7077D773" w14:textId="77777777" w:rsidR="00043325" w:rsidRDefault="00F81A7F">
      <w:pPr>
        <w:numPr>
          <w:ilvl w:val="0"/>
          <w:numId w:val="1"/>
        </w:numPr>
        <w:ind w:right="0" w:hanging="360"/>
      </w:pPr>
      <w:r>
        <w:t xml:space="preserve">We propose a Zero Adjusted Gamma Model for predicting the </w:t>
      </w:r>
      <w:r>
        <w:t xml:space="preserve">customers’ </w:t>
      </w:r>
      <w:r>
        <w:t xml:space="preserve">total purchase amount over the next 12 months and compare it with an OLS regression model. </w:t>
      </w:r>
    </w:p>
    <w:p w14:paraId="409139C2" w14:textId="77777777" w:rsidR="00043325" w:rsidRDefault="00F81A7F">
      <w:pPr>
        <w:numPr>
          <w:ilvl w:val="0"/>
          <w:numId w:val="1"/>
        </w:numPr>
        <w:ind w:right="0" w:hanging="360"/>
      </w:pPr>
      <w:r>
        <w:t>For predictin</w:t>
      </w:r>
      <w:r>
        <w:t xml:space="preserve">g the risk of default, persistent </w:t>
      </w:r>
      <w:proofErr w:type="gramStart"/>
      <w:r>
        <w:t>debt</w:t>
      </w:r>
      <w:proofErr w:type="gramEnd"/>
      <w:r>
        <w:t xml:space="preserve"> and systematic minimum repayment, we propose three different logistic regression models. </w:t>
      </w:r>
    </w:p>
    <w:p w14:paraId="1E619F5F" w14:textId="77777777" w:rsidR="00043325" w:rsidRDefault="00F81A7F">
      <w:pPr>
        <w:numPr>
          <w:ilvl w:val="0"/>
          <w:numId w:val="1"/>
        </w:numPr>
        <w:ind w:right="0" w:hanging="360"/>
      </w:pPr>
      <w:r>
        <w:t>We have tested and evaluated the performance of our models by applying them on a large real-world dataset including over 150000</w:t>
      </w:r>
      <w:r>
        <w:t xml:space="preserve"> Hong Kong credit card accounts and compared the parameters estimation. </w:t>
      </w:r>
    </w:p>
    <w:p w14:paraId="222BB576" w14:textId="77777777" w:rsidR="00043325" w:rsidRDefault="00F81A7F">
      <w:pPr>
        <w:numPr>
          <w:ilvl w:val="0"/>
          <w:numId w:val="1"/>
        </w:numPr>
        <w:spacing w:after="132" w:line="259" w:lineRule="auto"/>
        <w:ind w:right="0" w:hanging="360"/>
      </w:pPr>
      <w:r>
        <w:t xml:space="preserve">We will explain the behavioural and application variables we have used in our models. </w:t>
      </w:r>
    </w:p>
    <w:p w14:paraId="01DD4152" w14:textId="77777777" w:rsidR="00043325" w:rsidRDefault="00F81A7F">
      <w:pPr>
        <w:numPr>
          <w:ilvl w:val="0"/>
          <w:numId w:val="1"/>
        </w:numPr>
        <w:ind w:right="0" w:hanging="360"/>
      </w:pPr>
      <w:r>
        <w:t>We will explain the impact of credit limit variation on different response variables, as well as</w:t>
      </w:r>
      <w:r>
        <w:t xml:space="preserve"> interpreting </w:t>
      </w:r>
      <w:r>
        <w:t>other predictors’ coefficient sign</w:t>
      </w:r>
      <w:r>
        <w:t xml:space="preserve">s and significance or spline graphs. </w:t>
      </w:r>
    </w:p>
    <w:p w14:paraId="201F84EA" w14:textId="77777777" w:rsidR="00043325" w:rsidRDefault="00F81A7F">
      <w:pPr>
        <w:numPr>
          <w:ilvl w:val="0"/>
          <w:numId w:val="1"/>
        </w:numPr>
        <w:spacing w:after="161"/>
        <w:ind w:right="0" w:hanging="360"/>
      </w:pPr>
      <w:r>
        <w:t xml:space="preserve">We will consider the percentage of customers who are in different thresholds of persistent debt, compared with the percentage of customers who are in default at the same </w:t>
      </w:r>
      <w:r>
        <w:t xml:space="preserve">time, to analyse the relation between these alternative response variables.   </w:t>
      </w:r>
    </w:p>
    <w:p w14:paraId="743AB93B" w14:textId="77777777" w:rsidR="00043325" w:rsidRDefault="00F81A7F">
      <w:pPr>
        <w:spacing w:after="271" w:line="259" w:lineRule="auto"/>
        <w:ind w:left="0" w:right="0" w:firstLine="0"/>
        <w:jc w:val="left"/>
      </w:pPr>
      <w:r>
        <w:t xml:space="preserve"> </w:t>
      </w:r>
    </w:p>
    <w:p w14:paraId="0BE1146F" w14:textId="77777777" w:rsidR="00043325" w:rsidRDefault="00F81A7F">
      <w:pPr>
        <w:spacing w:after="0" w:line="259" w:lineRule="auto"/>
        <w:ind w:left="42" w:right="0" w:firstLine="0"/>
        <w:jc w:val="center"/>
      </w:pPr>
      <w:r>
        <w:t xml:space="preserve"> </w:t>
      </w:r>
    </w:p>
    <w:sectPr w:rsidR="00043325">
      <w:footerReference w:type="even" r:id="rId7"/>
      <w:footerReference w:type="default" r:id="rId8"/>
      <w:footerReference w:type="first" r:id="rId9"/>
      <w:footnotePr>
        <w:numRestart w:val="eachPage"/>
      </w:footnotePr>
      <w:pgSz w:w="11906" w:h="16838"/>
      <w:pgMar w:top="1495" w:right="1433" w:bottom="1438"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A9A52" w14:textId="77777777" w:rsidR="00F81A7F" w:rsidRDefault="00F81A7F">
      <w:pPr>
        <w:spacing w:after="0" w:line="240" w:lineRule="auto"/>
      </w:pPr>
      <w:r>
        <w:separator/>
      </w:r>
    </w:p>
  </w:endnote>
  <w:endnote w:type="continuationSeparator" w:id="0">
    <w:p w14:paraId="0E046078" w14:textId="77777777" w:rsidR="00F81A7F" w:rsidRDefault="00F8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E1F61" w14:textId="77777777" w:rsidR="00043325" w:rsidRDefault="00F81A7F">
    <w:pPr>
      <w:spacing w:after="0" w:line="259" w:lineRule="auto"/>
      <w:ind w:left="0"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xml:space="preserve"> NUMPAGES   \* MERGEFORMAT </w:instrText>
    </w:r>
    <w:r>
      <w:fldChar w:fldCharType="separate"/>
    </w:r>
    <w:r>
      <w:rPr>
        <w:b/>
      </w:rPr>
      <w:t>4</w:t>
    </w:r>
    <w:r>
      <w:rPr>
        <w:b/>
      </w:rPr>
      <w:fldChar w:fldCharType="end"/>
    </w:r>
    <w:r>
      <w:t xml:space="preserve"> </w:t>
    </w:r>
  </w:p>
  <w:p w14:paraId="5FB691B2" w14:textId="77777777" w:rsidR="00043325" w:rsidRDefault="00F81A7F">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53450" w14:textId="77777777" w:rsidR="00043325" w:rsidRDefault="00F81A7F">
    <w:pPr>
      <w:spacing w:after="0" w:line="259" w:lineRule="auto"/>
      <w:ind w:left="0"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xml:space="preserve"> NUMPAGES   \* MERGEFORMAT </w:instrText>
    </w:r>
    <w:r>
      <w:fldChar w:fldCharType="separate"/>
    </w:r>
    <w:r>
      <w:rPr>
        <w:b/>
      </w:rPr>
      <w:t>4</w:t>
    </w:r>
    <w:r>
      <w:rPr>
        <w:b/>
      </w:rPr>
      <w:fldChar w:fldCharType="end"/>
    </w:r>
    <w:r>
      <w:t xml:space="preserve"> </w:t>
    </w:r>
  </w:p>
  <w:p w14:paraId="37E4E2EA" w14:textId="77777777" w:rsidR="00043325" w:rsidRDefault="00F81A7F">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498BC" w14:textId="77777777" w:rsidR="00043325" w:rsidRDefault="00F81A7F">
    <w:pPr>
      <w:spacing w:after="0" w:line="259" w:lineRule="auto"/>
      <w:ind w:left="0"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xml:space="preserve"> NUMPAGES   \* MERGEFORMAT </w:instrText>
    </w:r>
    <w:r>
      <w:fldChar w:fldCharType="separate"/>
    </w:r>
    <w:r>
      <w:rPr>
        <w:b/>
      </w:rPr>
      <w:t>4</w:t>
    </w:r>
    <w:r>
      <w:rPr>
        <w:b/>
      </w:rPr>
      <w:fldChar w:fldCharType="end"/>
    </w:r>
    <w:r>
      <w:t xml:space="preserve"> </w:t>
    </w:r>
  </w:p>
  <w:p w14:paraId="4F841047" w14:textId="77777777" w:rsidR="00043325" w:rsidRDefault="00F81A7F">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2021D" w14:textId="77777777" w:rsidR="00F81A7F" w:rsidRDefault="00F81A7F">
      <w:pPr>
        <w:spacing w:after="0" w:line="248" w:lineRule="auto"/>
        <w:ind w:left="0" w:right="0" w:firstLine="0"/>
      </w:pPr>
      <w:r>
        <w:separator/>
      </w:r>
    </w:p>
  </w:footnote>
  <w:footnote w:type="continuationSeparator" w:id="0">
    <w:p w14:paraId="1E959B99" w14:textId="77777777" w:rsidR="00F81A7F" w:rsidRDefault="00F81A7F">
      <w:pPr>
        <w:spacing w:after="0" w:line="248" w:lineRule="auto"/>
        <w:ind w:left="0" w:right="0" w:firstLine="0"/>
      </w:pPr>
      <w:r>
        <w:continuationSeparator/>
      </w:r>
    </w:p>
  </w:footnote>
  <w:footnote w:id="1">
    <w:p w14:paraId="2CB70E31" w14:textId="77777777" w:rsidR="00043325" w:rsidRDefault="00F81A7F">
      <w:pPr>
        <w:pStyle w:val="footnotedescription"/>
      </w:pPr>
      <w:r>
        <w:rPr>
          <w:rStyle w:val="footnotemark"/>
        </w:rPr>
        <w:footnoteRef/>
      </w:r>
      <w:r>
        <w:t xml:space="preserve"> </w:t>
      </w:r>
      <w:r>
        <w:rPr>
          <w:i w:val="0"/>
        </w:rPr>
        <w:t xml:space="preserve">The Financial Conduct Authority (FCA), (2017). </w:t>
      </w:r>
      <w:r>
        <w:t>Credit card market study: consultation on persistent debt and earlier intervention remedies</w:t>
      </w:r>
      <w:r>
        <w:rPr>
          <w:i w:val="0"/>
        </w:rPr>
        <w:t>. London: Consultation Paper.</w:t>
      </w:r>
      <w:r>
        <w:rPr>
          <w:i w:val="0"/>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652D52"/>
    <w:multiLevelType w:val="hybridMultilevel"/>
    <w:tmpl w:val="9F2AADA0"/>
    <w:lvl w:ilvl="0" w:tplc="6AF806E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A646F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300C8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E65F8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EEB6A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801D2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F8989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122B4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F6A96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2D878D9"/>
    <w:multiLevelType w:val="hybridMultilevel"/>
    <w:tmpl w:val="CDEA0984"/>
    <w:lvl w:ilvl="0" w:tplc="5F34D2D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B62610">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18DB2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486F7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5071B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7EC59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80DA5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A8AAD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201C2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325"/>
    <w:rsid w:val="00043325"/>
    <w:rsid w:val="00C326F0"/>
    <w:rsid w:val="00F81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2B23"/>
  <w15:docId w15:val="{50120640-DF47-40C9-80D7-D0665CF0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5" w:line="359" w:lineRule="auto"/>
      <w:ind w:left="370" w:right="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8" w:lineRule="auto"/>
      <w:jc w:val="both"/>
    </w:pPr>
    <w:rPr>
      <w:rFonts w:ascii="Calibri" w:eastAsia="Calibri" w:hAnsi="Calibri" w:cs="Calibri"/>
      <w:i/>
      <w:color w:val="000000"/>
      <w:sz w:val="18"/>
    </w:rPr>
  </w:style>
  <w:style w:type="character" w:customStyle="1" w:styleId="footnotedescriptionChar">
    <w:name w:val="footnote description Char"/>
    <w:link w:val="footnotedescription"/>
    <w:rPr>
      <w:rFonts w:ascii="Calibri" w:eastAsia="Calibri" w:hAnsi="Calibri" w:cs="Calibri"/>
      <w: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6B855164-063B-4E07-807D-8B36074D9EE0}"/>
</file>

<file path=customXml/itemProps2.xml><?xml version="1.0" encoding="utf-8"?>
<ds:datastoreItem xmlns:ds="http://schemas.openxmlformats.org/officeDocument/2006/customXml" ds:itemID="{573E5011-AFDF-4370-913F-E8FCCE532F1F}"/>
</file>

<file path=customXml/itemProps3.xml><?xml version="1.0" encoding="utf-8"?>
<ds:datastoreItem xmlns:ds="http://schemas.openxmlformats.org/officeDocument/2006/customXml" ds:itemID="{6C67E085-C7F8-4123-B76B-60678C3B0375}"/>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Rezaei M.</dc:creator>
  <cp:keywords/>
  <cp:lastModifiedBy>Jen</cp:lastModifiedBy>
  <cp:revision>2</cp:revision>
  <dcterms:created xsi:type="dcterms:W3CDTF">2020-10-28T15:55:00Z</dcterms:created>
  <dcterms:modified xsi:type="dcterms:W3CDTF">2020-10-28T15:55:00Z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