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5EA1E" w14:textId="77777777" w:rsidR="00F229E1" w:rsidRDefault="00C73C59">
      <w:pPr>
        <w:spacing w:after="0" w:line="259" w:lineRule="auto"/>
        <w:ind w:left="-4"/>
      </w:pPr>
      <w:r>
        <w:rPr>
          <w:b/>
        </w:rPr>
        <w:t xml:space="preserve">Transactional Data and Credit Risk  </w:t>
      </w:r>
    </w:p>
    <w:p w14:paraId="281366A7" w14:textId="77777777" w:rsidR="00F229E1" w:rsidRDefault="00C73C59">
      <w:pPr>
        <w:spacing w:after="0" w:line="259" w:lineRule="auto"/>
        <w:ind w:left="1" w:firstLine="0"/>
      </w:pPr>
      <w:r>
        <w:rPr>
          <w:b/>
        </w:rPr>
        <w:t xml:space="preserve"> </w:t>
      </w:r>
    </w:p>
    <w:p w14:paraId="0B55E1EC" w14:textId="77777777" w:rsidR="00F229E1" w:rsidRDefault="00C73C59">
      <w:pPr>
        <w:spacing w:after="0" w:line="259" w:lineRule="auto"/>
        <w:ind w:left="-4"/>
      </w:pPr>
      <w:r>
        <w:rPr>
          <w:b/>
        </w:rPr>
        <w:t xml:space="preserve">Harvey Lawrence, Steven Baker and Daniel Weaver  </w:t>
      </w:r>
    </w:p>
    <w:p w14:paraId="78C8D89F" w14:textId="77777777" w:rsidR="00F229E1" w:rsidRDefault="00C73C59">
      <w:pPr>
        <w:spacing w:after="0" w:line="259" w:lineRule="auto"/>
        <w:ind w:left="1" w:firstLine="0"/>
      </w:pPr>
      <w:r>
        <w:rPr>
          <w:b/>
        </w:rPr>
        <w:t xml:space="preserve"> </w:t>
      </w:r>
    </w:p>
    <w:p w14:paraId="4C2B4D50" w14:textId="77777777" w:rsidR="00F229E1" w:rsidRDefault="00C73C59">
      <w:pPr>
        <w:spacing w:after="0" w:line="259" w:lineRule="auto"/>
        <w:ind w:left="-4"/>
      </w:pPr>
      <w:proofErr w:type="spellStart"/>
      <w:r>
        <w:rPr>
          <w:b/>
        </w:rPr>
        <w:t>AccountScore</w:t>
      </w:r>
      <w:proofErr w:type="spellEnd"/>
      <w:r>
        <w:rPr>
          <w:b/>
        </w:rPr>
        <w:t xml:space="preserve"> and Equifax Ltd.  </w:t>
      </w:r>
    </w:p>
    <w:p w14:paraId="3441D227" w14:textId="77777777" w:rsidR="00F229E1" w:rsidRDefault="00C73C59">
      <w:pPr>
        <w:spacing w:after="0" w:line="259" w:lineRule="auto"/>
        <w:ind w:left="1" w:firstLine="0"/>
      </w:pPr>
      <w:r>
        <w:t xml:space="preserve"> </w:t>
      </w:r>
    </w:p>
    <w:p w14:paraId="5C27DEB5" w14:textId="77777777" w:rsidR="00F229E1" w:rsidRDefault="00C73C59">
      <w:r>
        <w:t xml:space="preserve">The emergence of Open Banking has the potential to transform a customer’s credit journey and how a customer is treated by a lender. There is an </w:t>
      </w:r>
      <w:proofErr w:type="gramStart"/>
      <w:r>
        <w:t>ever growing</w:t>
      </w:r>
      <w:proofErr w:type="gramEnd"/>
      <w:r>
        <w:t xml:space="preserve"> focus on how to leverage the unparalleled richness of transactional data to improve risk assessment</w:t>
      </w:r>
      <w:r>
        <w:t xml:space="preserve"> throughout the credit lifecycle. </w:t>
      </w:r>
    </w:p>
    <w:p w14:paraId="0097BCF8" w14:textId="77777777" w:rsidR="00F229E1" w:rsidRDefault="00C73C59">
      <w:pPr>
        <w:spacing w:after="0" w:line="259" w:lineRule="auto"/>
        <w:ind w:left="0" w:firstLine="0"/>
      </w:pPr>
      <w:r>
        <w:t xml:space="preserve"> </w:t>
      </w:r>
    </w:p>
    <w:p w14:paraId="58392932" w14:textId="77777777" w:rsidR="00F229E1" w:rsidRDefault="00C73C59">
      <w:pPr>
        <w:spacing w:after="170"/>
      </w:pPr>
      <w:r>
        <w:t>This presentation will explore the use of transactional data for predicting credit risk with a focus on the analytics and techniques that make this possible, where transactional data adds most value and how together tra</w:t>
      </w:r>
      <w:r>
        <w:t xml:space="preserve">nsactional data and traditional CRA data can power better lending decisions.  </w:t>
      </w:r>
    </w:p>
    <w:p w14:paraId="23EE385C" w14:textId="77777777" w:rsidR="00F229E1" w:rsidRDefault="00C73C59">
      <w:pPr>
        <w:spacing w:after="196"/>
      </w:pPr>
      <w:r>
        <w:t xml:space="preserve">The key points addressed will include: </w:t>
      </w:r>
    </w:p>
    <w:p w14:paraId="04F4F485" w14:textId="77777777" w:rsidR="00F229E1" w:rsidRDefault="00C73C59">
      <w:pPr>
        <w:numPr>
          <w:ilvl w:val="0"/>
          <w:numId w:val="1"/>
        </w:numPr>
        <w:ind w:hanging="360"/>
      </w:pPr>
      <w:r>
        <w:t xml:space="preserve">A comparison of transaction data versus traditional CRA data in assessing credit risk. </w:t>
      </w:r>
    </w:p>
    <w:p w14:paraId="445556A7" w14:textId="77777777" w:rsidR="00F229E1" w:rsidRDefault="00C73C59">
      <w:pPr>
        <w:numPr>
          <w:ilvl w:val="0"/>
          <w:numId w:val="1"/>
        </w:numPr>
        <w:spacing w:after="36"/>
        <w:ind w:hanging="360"/>
      </w:pPr>
      <w:r>
        <w:t>The benefits of combining CRA data and transactio</w:t>
      </w:r>
      <w:r>
        <w:t xml:space="preserve">nal data analytics together to split risk more powerfully. </w:t>
      </w:r>
    </w:p>
    <w:p w14:paraId="18EA1153" w14:textId="77777777" w:rsidR="00F229E1" w:rsidRDefault="00C73C59">
      <w:pPr>
        <w:numPr>
          <w:ilvl w:val="0"/>
          <w:numId w:val="1"/>
        </w:numPr>
        <w:ind w:hanging="360"/>
      </w:pPr>
      <w:r>
        <w:t xml:space="preserve">How transactional data can transform the treatment of consumers with “thin” credit files </w:t>
      </w:r>
    </w:p>
    <w:p w14:paraId="66A749A8" w14:textId="77777777" w:rsidR="00F229E1" w:rsidRDefault="00C73C59">
      <w:pPr>
        <w:numPr>
          <w:ilvl w:val="0"/>
          <w:numId w:val="1"/>
        </w:numPr>
        <w:ind w:hanging="360"/>
      </w:pPr>
      <w:r>
        <w:t xml:space="preserve">The analytical techniques used to drive the most value from the granular data. </w:t>
      </w:r>
    </w:p>
    <w:p w14:paraId="3AC1AE30" w14:textId="77777777" w:rsidR="00F229E1" w:rsidRDefault="00C73C59">
      <w:pPr>
        <w:numPr>
          <w:ilvl w:val="0"/>
          <w:numId w:val="1"/>
        </w:numPr>
        <w:ind w:hanging="360"/>
      </w:pPr>
      <w:r>
        <w:t>Insights into specific seg</w:t>
      </w:r>
      <w:r>
        <w:t xml:space="preserve">ments and transactional features that are highly predictive and the rationale behind them. </w:t>
      </w:r>
    </w:p>
    <w:sectPr w:rsidR="00F229E1">
      <w:pgSz w:w="11906" w:h="16838"/>
      <w:pgMar w:top="1440" w:right="1482" w:bottom="1440" w:left="14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C3159"/>
    <w:multiLevelType w:val="hybridMultilevel"/>
    <w:tmpl w:val="D41482AA"/>
    <w:lvl w:ilvl="0" w:tplc="2C3EA9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66ED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2A10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663A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224E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240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4BD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3640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C7F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E1"/>
    <w:rsid w:val="00225EC0"/>
    <w:rsid w:val="00C73C59"/>
    <w:rsid w:val="00F2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973E3"/>
  <w15:docId w15:val="{EC2EC0A7-BD0E-4260-804C-F2A49E46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6BD39186-20E1-4AD6-852C-30D241C32FBC}"/>
</file>

<file path=customXml/itemProps2.xml><?xml version="1.0" encoding="utf-8"?>
<ds:datastoreItem xmlns:ds="http://schemas.openxmlformats.org/officeDocument/2006/customXml" ds:itemID="{86257BFF-5ADA-4777-9E69-083754DF753E}"/>
</file>

<file path=customXml/itemProps3.xml><?xml version="1.0" encoding="utf-8"?>
<ds:datastoreItem xmlns:ds="http://schemas.openxmlformats.org/officeDocument/2006/customXml" ds:itemID="{E51AD4F5-7DF8-4860-8566-0BC08F30F2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Lawrence</dc:creator>
  <cp:keywords/>
  <cp:lastModifiedBy>Jen</cp:lastModifiedBy>
  <cp:revision>4</cp:revision>
  <dcterms:created xsi:type="dcterms:W3CDTF">2020-10-28T16:13:00Z</dcterms:created>
  <dcterms:modified xsi:type="dcterms:W3CDTF">2020-10-28T16:13:00Z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