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E58E1" w14:textId="77777777" w:rsidR="00A27A80" w:rsidRDefault="00486839">
      <w:pPr>
        <w:spacing w:after="0" w:line="259" w:lineRule="auto"/>
        <w:ind w:left="-5"/>
      </w:pPr>
      <w:r>
        <w:rPr>
          <w:rFonts w:ascii="Verdana" w:eastAsia="Verdana" w:hAnsi="Verdana" w:cs="Verdana"/>
          <w:sz w:val="28"/>
        </w:rPr>
        <w:t xml:space="preserve">Applying CECL to US Mortgage: A Case Study in </w:t>
      </w:r>
    </w:p>
    <w:p w14:paraId="702478A4" w14:textId="77777777" w:rsidR="00A27A80" w:rsidRDefault="00486839">
      <w:pPr>
        <w:spacing w:after="275" w:line="259" w:lineRule="auto"/>
        <w:ind w:left="-5"/>
      </w:pPr>
      <w:r>
        <w:rPr>
          <w:rFonts w:ascii="Verdana" w:eastAsia="Verdana" w:hAnsi="Verdana" w:cs="Verdana"/>
          <w:sz w:val="28"/>
        </w:rPr>
        <w:t>Alternatives, Impacts, Accuracy, and Complexity</w:t>
      </w:r>
      <w:r>
        <w:rPr>
          <w:rFonts w:ascii="Verdana" w:eastAsia="Verdana" w:hAnsi="Verdana" w:cs="Verdana"/>
          <w:sz w:val="28"/>
          <w:vertAlign w:val="superscript"/>
        </w:rPr>
        <w:footnoteReference w:id="1"/>
      </w:r>
      <w:r>
        <w:rPr>
          <w:rFonts w:ascii="Verdana" w:eastAsia="Verdana" w:hAnsi="Verdana" w:cs="Verdana"/>
          <w:sz w:val="28"/>
        </w:rPr>
        <w:t xml:space="preserve"> </w:t>
      </w:r>
    </w:p>
    <w:p w14:paraId="423521AA" w14:textId="77777777" w:rsidR="00A27A80" w:rsidRDefault="00486839">
      <w:pPr>
        <w:spacing w:after="20" w:line="306" w:lineRule="auto"/>
        <w:ind w:left="-5" w:right="5374"/>
      </w:pPr>
      <w:r>
        <w:rPr>
          <w:rFonts w:ascii="Times New Roman" w:eastAsia="Times New Roman" w:hAnsi="Times New Roman" w:cs="Times New Roman"/>
        </w:rPr>
        <w:t xml:space="preserve">Joseph L. Breeden, PhD Prescient Models LLC </w:t>
      </w:r>
    </w:p>
    <w:p w14:paraId="0B595ACA" w14:textId="77777777" w:rsidR="00A27A80" w:rsidRDefault="00486839" w:rsidP="00064FB9">
      <w:pPr>
        <w:tabs>
          <w:tab w:val="center" w:pos="8640"/>
        </w:tabs>
        <w:spacing w:after="498" w:line="306" w:lineRule="auto"/>
        <w:ind w:left="-15" w:firstLine="0"/>
        <w:jc w:val="both"/>
      </w:pPr>
      <w:r>
        <w:rPr>
          <w:rFonts w:ascii="Times New Roman" w:eastAsia="Times New Roman" w:hAnsi="Times New Roman" w:cs="Times New Roman"/>
        </w:rPr>
        <w:t xml:space="preserve">breeden@prescientmodels.com </w:t>
      </w:r>
      <w:r>
        <w:rPr>
          <w:rFonts w:ascii="Times New Roman" w:eastAsia="Times New Roman" w:hAnsi="Times New Roman" w:cs="Times New Roman"/>
        </w:rPr>
        <w:tab/>
        <w:t xml:space="preserve">  </w:t>
      </w:r>
    </w:p>
    <w:p w14:paraId="7DFCBDA9" w14:textId="77777777" w:rsidR="00A27A80" w:rsidRDefault="00486839" w:rsidP="00064FB9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b/>
          <w:color w:val="0E3E17"/>
          <w:sz w:val="32"/>
        </w:rPr>
        <w:t>Abstract</w:t>
      </w:r>
      <w:r>
        <w:rPr>
          <w:rFonts w:ascii="Calibri" w:eastAsia="Calibri" w:hAnsi="Calibri" w:cs="Calibri"/>
          <w:b/>
          <w:color w:val="0E3E17"/>
          <w:sz w:val="32"/>
        </w:rPr>
        <w:tab/>
      </w:r>
    </w:p>
    <w:p w14:paraId="64050B22" w14:textId="656684AE" w:rsidR="00A27A80" w:rsidRDefault="00486839" w:rsidP="00064FB9">
      <w:pPr>
        <w:ind w:left="-5"/>
      </w:pPr>
      <w:r>
        <w:t>The</w:t>
      </w:r>
      <w:r w:rsidR="00064FB9">
        <w:t xml:space="preserve"> </w:t>
      </w:r>
      <w:r>
        <w:t>new</w:t>
      </w:r>
      <w:r w:rsidR="00064FB9">
        <w:t xml:space="preserve"> </w:t>
      </w:r>
      <w:r>
        <w:t>accounting</w:t>
      </w:r>
      <w:r w:rsidR="00064FB9">
        <w:t xml:space="preserve"> </w:t>
      </w:r>
      <w:r>
        <w:t>rules</w:t>
      </w:r>
      <w:r w:rsidR="00064FB9">
        <w:t xml:space="preserve"> </w:t>
      </w:r>
      <w:r>
        <w:t>for</w:t>
      </w:r>
      <w:r w:rsidR="00064FB9">
        <w:t xml:space="preserve"> </w:t>
      </w:r>
      <w:r>
        <w:t>estimating</w:t>
      </w:r>
      <w:r w:rsidR="00064FB9">
        <w:t xml:space="preserve"> </w:t>
      </w:r>
      <w:r>
        <w:t>loan</w:t>
      </w:r>
      <w:r w:rsidR="00064FB9">
        <w:t xml:space="preserve"> </w:t>
      </w:r>
      <w:r>
        <w:t>loss</w:t>
      </w:r>
      <w:r w:rsidR="00064FB9">
        <w:t xml:space="preserve"> </w:t>
      </w:r>
      <w:r>
        <w:t>reserves</w:t>
      </w:r>
      <w:r w:rsidR="00064FB9">
        <w:t xml:space="preserve"> </w:t>
      </w:r>
      <w:r>
        <w:t>offer</w:t>
      </w:r>
      <w:r w:rsidR="00064FB9">
        <w:t xml:space="preserve"> </w:t>
      </w:r>
      <w:r>
        <w:t>general</w:t>
      </w:r>
      <w:r w:rsidR="00064FB9">
        <w:t xml:space="preserve"> </w:t>
      </w:r>
      <w:r>
        <w:t>guidelines</w:t>
      </w:r>
      <w:r w:rsidR="00064FB9">
        <w:t xml:space="preserve"> </w:t>
      </w:r>
      <w:r>
        <w:t>and</w:t>
      </w:r>
      <w:r w:rsidR="00064FB9">
        <w:t xml:space="preserve"> </w:t>
      </w:r>
      <w:r>
        <w:t>a</w:t>
      </w:r>
      <w:r w:rsidR="00064FB9">
        <w:t xml:space="preserve"> </w:t>
      </w:r>
      <w:r>
        <w:t>list</w:t>
      </w:r>
      <w:r w:rsidR="00064FB9">
        <w:t xml:space="preserve"> </w:t>
      </w:r>
      <w:r>
        <w:t>of</w:t>
      </w:r>
      <w:r w:rsidR="00064FB9">
        <w:t xml:space="preserve"> </w:t>
      </w:r>
      <w:r>
        <w:t>possibilities,</w:t>
      </w:r>
      <w:r w:rsidR="00064FB9">
        <w:t xml:space="preserve"> </w:t>
      </w:r>
      <w:r>
        <w:t>but</w:t>
      </w:r>
      <w:r w:rsidR="00064FB9">
        <w:t xml:space="preserve"> </w:t>
      </w:r>
      <w:r>
        <w:t>no</w:t>
      </w:r>
      <w:r w:rsidR="00064FB9">
        <w:t xml:space="preserve"> </w:t>
      </w:r>
      <w:r>
        <w:t>specific</w:t>
      </w:r>
      <w:r w:rsidR="00064FB9">
        <w:t xml:space="preserve"> </w:t>
      </w:r>
      <w:r>
        <w:t>recommendations</w:t>
      </w:r>
      <w:r w:rsidR="00064FB9">
        <w:t xml:space="preserve"> </w:t>
      </w:r>
      <w:r>
        <w:t>for</w:t>
      </w:r>
      <w:r w:rsidR="00064FB9">
        <w:t xml:space="preserve"> </w:t>
      </w:r>
      <w:r>
        <w:t>how</w:t>
      </w:r>
      <w:r w:rsidR="00064FB9">
        <w:t xml:space="preserve"> </w:t>
      </w:r>
      <w:r>
        <w:t>best</w:t>
      </w:r>
      <w:r w:rsidR="00064FB9">
        <w:t xml:space="preserve"> </w:t>
      </w:r>
      <w:r>
        <w:t>to</w:t>
      </w:r>
      <w:r w:rsidR="00064FB9">
        <w:t xml:space="preserve"> </w:t>
      </w:r>
      <w:r>
        <w:t>implement</w:t>
      </w:r>
      <w:r w:rsidR="00064FB9">
        <w:t xml:space="preserve"> </w:t>
      </w:r>
      <w:r>
        <w:t>those</w:t>
      </w:r>
      <w:r w:rsidR="00064FB9">
        <w:t xml:space="preserve"> </w:t>
      </w:r>
      <w:r>
        <w:t>rules.</w:t>
      </w:r>
      <w:r w:rsidR="00064FB9">
        <w:t xml:space="preserve"> </w:t>
      </w:r>
      <w:r>
        <w:t>The</w:t>
      </w:r>
      <w:r w:rsidR="00064FB9">
        <w:t xml:space="preserve"> </w:t>
      </w:r>
      <w:r>
        <w:t>present</w:t>
      </w:r>
      <w:r w:rsidR="00064FB9">
        <w:t xml:space="preserve"> </w:t>
      </w:r>
      <w:r>
        <w:t>study</w:t>
      </w:r>
      <w:r>
        <w:tab/>
        <w:t>uses</w:t>
      </w:r>
      <w:r w:rsidR="00064FB9">
        <w:t xml:space="preserve"> </w:t>
      </w:r>
      <w:r>
        <w:t>a</w:t>
      </w:r>
      <w:r w:rsidR="00064FB9">
        <w:t xml:space="preserve"> </w:t>
      </w:r>
      <w:r>
        <w:t>large</w:t>
      </w:r>
      <w:r w:rsidR="00064FB9">
        <w:t xml:space="preserve"> </w:t>
      </w:r>
      <w:r>
        <w:t>mortgage</w:t>
      </w:r>
      <w:r w:rsidR="00064FB9">
        <w:t xml:space="preserve"> </w:t>
      </w:r>
      <w:r>
        <w:t>dataset</w:t>
      </w:r>
      <w:r w:rsidR="00064FB9">
        <w:t xml:space="preserve"> </w:t>
      </w:r>
      <w:r>
        <w:t>from</w:t>
      </w:r>
      <w:r>
        <w:tab/>
        <w:t>Fannie</w:t>
      </w:r>
      <w:r>
        <w:tab/>
        <w:t>Mae</w:t>
      </w:r>
      <w:r w:rsidR="00064FB9">
        <w:t xml:space="preserve"> </w:t>
      </w:r>
      <w:r>
        <w:t>and</w:t>
      </w:r>
      <w:r w:rsidR="00064FB9">
        <w:t xml:space="preserve"> </w:t>
      </w:r>
      <w:r>
        <w:t>Freddie</w:t>
      </w:r>
      <w:r w:rsidR="00064FB9">
        <w:t xml:space="preserve"> </w:t>
      </w:r>
      <w:r>
        <w:t>Mac</w:t>
      </w:r>
      <w:r w:rsidR="00064FB9">
        <w:t xml:space="preserve"> </w:t>
      </w:r>
      <w:r>
        <w:t>to</w:t>
      </w:r>
      <w:r w:rsidR="00064FB9">
        <w:t xml:space="preserve"> </w:t>
      </w:r>
      <w:r>
        <w:t>test</w:t>
      </w:r>
      <w:r w:rsidR="00064FB9">
        <w:t xml:space="preserve"> </w:t>
      </w:r>
      <w:r>
        <w:t>a</w:t>
      </w:r>
      <w:r w:rsidR="00064FB9">
        <w:t xml:space="preserve"> </w:t>
      </w:r>
      <w:r>
        <w:t>range</w:t>
      </w:r>
      <w:r w:rsidR="00064FB9">
        <w:t xml:space="preserve"> </w:t>
      </w:r>
      <w:r>
        <w:t>of</w:t>
      </w:r>
      <w:r w:rsidR="00064FB9">
        <w:t xml:space="preserve"> </w:t>
      </w:r>
      <w:r>
        <w:t>models</w:t>
      </w:r>
      <w:r w:rsidR="00064FB9">
        <w:t xml:space="preserve"> </w:t>
      </w:r>
      <w:r>
        <w:t>and</w:t>
      </w:r>
      <w:r w:rsidR="00064FB9">
        <w:t xml:space="preserve"> </w:t>
      </w:r>
      <w:r>
        <w:t>options.</w:t>
      </w:r>
      <w:r w:rsidR="00064FB9">
        <w:t xml:space="preserve"> </w:t>
      </w:r>
      <w:r>
        <w:t>The</w:t>
      </w:r>
      <w:r w:rsidR="00064FB9">
        <w:t xml:space="preserve"> </w:t>
      </w:r>
      <w:r>
        <w:t>results</w:t>
      </w:r>
      <w:r w:rsidR="00064FB9">
        <w:t xml:space="preserve"> </w:t>
      </w:r>
      <w:r>
        <w:t>quantify</w:t>
      </w:r>
      <w:r w:rsidR="00064FB9">
        <w:t xml:space="preserve"> </w:t>
      </w:r>
      <w:r>
        <w:t>the</w:t>
      </w:r>
      <w:r w:rsidR="00064FB9">
        <w:t xml:space="preserve"> </w:t>
      </w:r>
      <w:r>
        <w:t>pros</w:t>
      </w:r>
      <w:r w:rsidR="00064FB9">
        <w:t xml:space="preserve"> </w:t>
      </w:r>
      <w:r>
        <w:t>and</w:t>
      </w:r>
      <w:r w:rsidR="00064FB9">
        <w:t xml:space="preserve"> </w:t>
      </w:r>
      <w:r>
        <w:t>cons</w:t>
      </w:r>
      <w:r w:rsidR="00064FB9">
        <w:t xml:space="preserve"> </w:t>
      </w:r>
      <w:r>
        <w:t>of</w:t>
      </w:r>
      <w:r w:rsidR="00064FB9">
        <w:t xml:space="preserve"> </w:t>
      </w:r>
      <w:r>
        <w:t>these</w:t>
      </w:r>
      <w:r w:rsidR="00064FB9">
        <w:t xml:space="preserve"> </w:t>
      </w:r>
      <w:r>
        <w:t>options</w:t>
      </w:r>
      <w:r w:rsidR="00064FB9">
        <w:t xml:space="preserve"> </w:t>
      </w:r>
      <w:r>
        <w:t>using</w:t>
      </w:r>
      <w:r w:rsidR="00064FB9">
        <w:t xml:space="preserve"> </w:t>
      </w:r>
      <w:r>
        <w:t>a</w:t>
      </w:r>
      <w:r w:rsidR="00064FB9">
        <w:t xml:space="preserve"> </w:t>
      </w:r>
      <w:r>
        <w:t>range</w:t>
      </w:r>
      <w:r w:rsidR="00064FB9">
        <w:t xml:space="preserve"> </w:t>
      </w:r>
      <w:r>
        <w:t>of</w:t>
      </w:r>
      <w:r w:rsidR="00064FB9">
        <w:t xml:space="preserve"> </w:t>
      </w:r>
      <w:r>
        <w:t>criteria.</w:t>
      </w:r>
      <w:r>
        <w:tab/>
      </w:r>
    </w:p>
    <w:p w14:paraId="3088F23E" w14:textId="77777777" w:rsidR="00A27A80" w:rsidRDefault="00486839" w:rsidP="00064FB9">
      <w:pPr>
        <w:spacing w:after="0" w:line="259" w:lineRule="auto"/>
        <w:ind w:left="0" w:firstLine="0"/>
      </w:pPr>
      <w:r>
        <w:tab/>
      </w:r>
    </w:p>
    <w:p w14:paraId="10C1F4AA" w14:textId="25C9AF31" w:rsidR="00A27A80" w:rsidRDefault="00486839" w:rsidP="00064FB9">
      <w:pPr>
        <w:ind w:left="-5"/>
      </w:pPr>
      <w:r>
        <w:t>By</w:t>
      </w:r>
      <w:r w:rsidR="00064FB9">
        <w:t xml:space="preserve"> </w:t>
      </w:r>
      <w:r>
        <w:t>design,</w:t>
      </w:r>
      <w:r w:rsidR="00064FB9">
        <w:t xml:space="preserve"> </w:t>
      </w:r>
      <w:r>
        <w:t>the</w:t>
      </w:r>
      <w:r>
        <w:tab/>
        <w:t>new</w:t>
      </w:r>
      <w:r w:rsidR="00064FB9">
        <w:t xml:space="preserve"> </w:t>
      </w:r>
      <w:r>
        <w:t>CECL</w:t>
      </w:r>
      <w:r w:rsidR="00064FB9">
        <w:t xml:space="preserve"> </w:t>
      </w:r>
      <w:r>
        <w:t>rules</w:t>
      </w:r>
      <w:r w:rsidR="00064FB9">
        <w:t xml:space="preserve"> </w:t>
      </w:r>
      <w:r>
        <w:t>provide</w:t>
      </w:r>
      <w:r w:rsidR="00064FB9">
        <w:t xml:space="preserve"> </w:t>
      </w:r>
      <w:r>
        <w:t>a</w:t>
      </w:r>
      <w:r w:rsidR="00064FB9">
        <w:t xml:space="preserve"> </w:t>
      </w:r>
      <w:r>
        <w:t>significant</w:t>
      </w:r>
      <w:r w:rsidR="00064FB9">
        <w:t xml:space="preserve"> </w:t>
      </w:r>
      <w:r>
        <w:t>amount</w:t>
      </w:r>
      <w:r w:rsidR="00064FB9">
        <w:t xml:space="preserve"> </w:t>
      </w:r>
      <w:r>
        <w:t>of</w:t>
      </w:r>
      <w:r w:rsidR="00064FB9">
        <w:t xml:space="preserve"> </w:t>
      </w:r>
      <w:r>
        <w:t>flexibility</w:t>
      </w:r>
      <w:r w:rsidR="00064FB9">
        <w:t xml:space="preserve"> i</w:t>
      </w:r>
      <w:r>
        <w:t>n</w:t>
      </w:r>
      <w:r w:rsidR="00064FB9">
        <w:t xml:space="preserve"> </w:t>
      </w:r>
      <w:r>
        <w:t>implementation.</w:t>
      </w:r>
      <w:r w:rsidR="00064FB9">
        <w:t xml:space="preserve"> </w:t>
      </w:r>
      <w:r>
        <w:t>As</w:t>
      </w:r>
      <w:r w:rsidR="00064FB9">
        <w:t xml:space="preserve"> </w:t>
      </w:r>
      <w:r>
        <w:t>seen</w:t>
      </w:r>
      <w:r w:rsidR="00064FB9">
        <w:t xml:space="preserve"> </w:t>
      </w:r>
      <w:r>
        <w:t>from</w:t>
      </w:r>
      <w:r w:rsidR="00064FB9">
        <w:t xml:space="preserve"> </w:t>
      </w:r>
      <w:r>
        <w:t>this</w:t>
      </w:r>
      <w:r w:rsidR="00064FB9">
        <w:t xml:space="preserve"> </w:t>
      </w:r>
      <w:r>
        <w:t>study,</w:t>
      </w:r>
      <w:r w:rsidR="00064FB9">
        <w:t xml:space="preserve"> </w:t>
      </w:r>
      <w:r>
        <w:t>even</w:t>
      </w:r>
      <w:r w:rsidR="00064FB9">
        <w:t xml:space="preserve"> </w:t>
      </w:r>
      <w:r>
        <w:t>with</w:t>
      </w:r>
      <w:r w:rsidR="00064FB9">
        <w:t xml:space="preserve"> </w:t>
      </w:r>
      <w:r>
        <w:t>a</w:t>
      </w:r>
      <w:r w:rsidR="00064FB9">
        <w:t xml:space="preserve"> </w:t>
      </w:r>
      <w:r>
        <w:t>s</w:t>
      </w:r>
      <w:r>
        <w:t>traightforward</w:t>
      </w:r>
      <w:r w:rsidR="00064FB9">
        <w:t xml:space="preserve"> </w:t>
      </w:r>
      <w:r>
        <w:t>product</w:t>
      </w:r>
      <w:r w:rsidR="00064FB9">
        <w:t xml:space="preserve"> </w:t>
      </w:r>
      <w:r>
        <w:t>like</w:t>
      </w:r>
      <w:r w:rsidR="00064FB9">
        <w:t xml:space="preserve"> </w:t>
      </w:r>
      <w:r>
        <w:t>30-year</w:t>
      </w:r>
      <w:r w:rsidR="00064FB9">
        <w:t xml:space="preserve"> </w:t>
      </w:r>
      <w:r>
        <w:t>fixed</w:t>
      </w:r>
      <w:r>
        <w:tab/>
        <w:t>rate</w:t>
      </w:r>
      <w:r w:rsidR="00064FB9">
        <w:t xml:space="preserve"> </w:t>
      </w:r>
      <w:r>
        <w:t>conforming</w:t>
      </w:r>
      <w:r w:rsidR="00064FB9">
        <w:t xml:space="preserve"> </w:t>
      </w:r>
      <w:r>
        <w:t>mortgages,</w:t>
      </w:r>
      <w:r>
        <w:tab/>
        <w:t>the</w:t>
      </w:r>
      <w:r w:rsidR="00064FB9">
        <w:t xml:space="preserve"> </w:t>
      </w:r>
      <w:r>
        <w:t>range</w:t>
      </w:r>
      <w:r w:rsidR="00064FB9">
        <w:t xml:space="preserve"> </w:t>
      </w:r>
      <w:r>
        <w:t>of</w:t>
      </w:r>
      <w:r w:rsidR="00064FB9">
        <w:t xml:space="preserve"> </w:t>
      </w:r>
      <w:r>
        <w:t>models</w:t>
      </w:r>
      <w:r w:rsidR="00064FB9">
        <w:t xml:space="preserve"> </w:t>
      </w:r>
      <w:r>
        <w:t>listed</w:t>
      </w:r>
      <w:r w:rsidR="00064FB9">
        <w:t xml:space="preserve"> </w:t>
      </w:r>
      <w:r>
        <w:t>in</w:t>
      </w:r>
      <w:r w:rsidR="00064FB9">
        <w:t xml:space="preserve"> </w:t>
      </w:r>
      <w:r>
        <w:t>t</w:t>
      </w:r>
      <w:r w:rsidR="00064FB9">
        <w:t xml:space="preserve">he </w:t>
      </w:r>
      <w:r>
        <w:t>CECL</w:t>
      </w:r>
      <w:r>
        <w:tab/>
        <w:t>guidelines</w:t>
      </w:r>
      <w:r w:rsidR="00064FB9">
        <w:t xml:space="preserve"> </w:t>
      </w:r>
      <w:r>
        <w:t>can</w:t>
      </w:r>
      <w:r w:rsidR="00064FB9">
        <w:t xml:space="preserve"> </w:t>
      </w:r>
      <w:r>
        <w:t>produce</w:t>
      </w:r>
      <w:r w:rsidR="00064FB9">
        <w:t xml:space="preserve"> </w:t>
      </w:r>
      <w:r>
        <w:t>a</w:t>
      </w:r>
      <w:r w:rsidR="00064FB9">
        <w:t xml:space="preserve"> </w:t>
      </w:r>
      <w:r>
        <w:t>range</w:t>
      </w:r>
      <w:r w:rsidR="00064FB9">
        <w:t xml:space="preserve"> </w:t>
      </w:r>
      <w:r>
        <w:t>of</w:t>
      </w:r>
      <w:r w:rsidR="00064FB9">
        <w:t xml:space="preserve"> </w:t>
      </w:r>
      <w:r>
        <w:t>lifetime</w:t>
      </w:r>
      <w:r>
        <w:tab/>
        <w:t>loss</w:t>
      </w:r>
      <w:r w:rsidR="00064FB9">
        <w:t xml:space="preserve"> </w:t>
      </w:r>
      <w:r>
        <w:t>numbers</w:t>
      </w:r>
      <w:r w:rsidR="00064FB9">
        <w:t xml:space="preserve"> </w:t>
      </w:r>
      <w:r>
        <w:t>that</w:t>
      </w:r>
      <w:r w:rsidR="00064FB9">
        <w:t xml:space="preserve"> </w:t>
      </w:r>
      <w:r>
        <w:t>vary</w:t>
      </w:r>
      <w:r w:rsidR="00064FB9">
        <w:t xml:space="preserve"> </w:t>
      </w:r>
      <w:r>
        <w:t>by</w:t>
      </w:r>
      <w:r w:rsidR="00064FB9">
        <w:t xml:space="preserve"> </w:t>
      </w:r>
      <w:r>
        <w:t>a</w:t>
      </w:r>
      <w:r>
        <w:tab/>
        <w:t>factor</w:t>
      </w:r>
      <w:r w:rsidR="00064FB9">
        <w:t xml:space="preserve"> </w:t>
      </w:r>
      <w:r>
        <w:t>of</w:t>
      </w:r>
      <w:r w:rsidR="00064FB9">
        <w:t xml:space="preserve"> </w:t>
      </w:r>
      <w:r>
        <w:t>2.</w:t>
      </w:r>
      <w:r>
        <w:tab/>
        <w:t>With</w:t>
      </w:r>
      <w:r w:rsidR="00064FB9">
        <w:t xml:space="preserve"> </w:t>
      </w:r>
      <w:r>
        <w:t>the</w:t>
      </w:r>
      <w:r w:rsidR="00064FB9">
        <w:t xml:space="preserve"> </w:t>
      </w:r>
      <w:r>
        <w:t>option</w:t>
      </w:r>
      <w:r w:rsidR="00064FB9">
        <w:t xml:space="preserve"> </w:t>
      </w:r>
      <w:r>
        <w:t>of</w:t>
      </w:r>
      <w:r w:rsidR="00064FB9">
        <w:t xml:space="preserve"> </w:t>
      </w:r>
      <w:r>
        <w:t>discounted</w:t>
      </w:r>
      <w:r w:rsidR="00064FB9">
        <w:t xml:space="preserve"> </w:t>
      </w:r>
      <w:r>
        <w:t>cash</w:t>
      </w:r>
      <w:r>
        <w:tab/>
        <w:t>flows,</w:t>
      </w:r>
      <w:r w:rsidR="00064FB9">
        <w:t xml:space="preserve"> </w:t>
      </w:r>
      <w:r>
        <w:t>the</w:t>
      </w:r>
      <w:r w:rsidR="00064FB9">
        <w:t xml:space="preserve"> </w:t>
      </w:r>
      <w:r>
        <w:t>range</w:t>
      </w:r>
      <w:r w:rsidR="00064FB9">
        <w:t xml:space="preserve"> </w:t>
      </w:r>
      <w:r>
        <w:t>o</w:t>
      </w:r>
      <w:r w:rsidR="00064FB9">
        <w:t xml:space="preserve">f </w:t>
      </w:r>
      <w:r>
        <w:t>final</w:t>
      </w:r>
      <w:r w:rsidR="00064FB9">
        <w:t xml:space="preserve"> </w:t>
      </w:r>
      <w:r>
        <w:t>an</w:t>
      </w:r>
      <w:r>
        <w:t>swers</w:t>
      </w:r>
      <w:r w:rsidR="00064FB9">
        <w:t xml:space="preserve"> </w:t>
      </w:r>
      <w:r>
        <w:t>would</w:t>
      </w:r>
      <w:r w:rsidR="00064FB9">
        <w:t xml:space="preserve"> </w:t>
      </w:r>
      <w:r>
        <w:t>vary</w:t>
      </w:r>
      <w:r w:rsidR="00064FB9">
        <w:t xml:space="preserve"> </w:t>
      </w:r>
      <w:r>
        <w:t>by</w:t>
      </w:r>
      <w:r>
        <w:tab/>
        <w:t>more</w:t>
      </w:r>
      <w:r w:rsidR="00064FB9">
        <w:t xml:space="preserve"> </w:t>
      </w:r>
      <w:r>
        <w:t>than</w:t>
      </w:r>
      <w:r w:rsidR="00064FB9">
        <w:t xml:space="preserve"> </w:t>
      </w:r>
      <w:r>
        <w:t>a</w:t>
      </w:r>
      <w:r w:rsidR="00064FB9">
        <w:t xml:space="preserve"> </w:t>
      </w:r>
      <w:r>
        <w:t>factor</w:t>
      </w:r>
      <w:r w:rsidR="00064FB9">
        <w:t xml:space="preserve"> </w:t>
      </w:r>
      <w:r>
        <w:t>of</w:t>
      </w:r>
      <w:r w:rsidR="00064FB9">
        <w:t xml:space="preserve"> </w:t>
      </w:r>
      <w:r>
        <w:t>2.</w:t>
      </w:r>
      <w:r>
        <w:tab/>
      </w:r>
      <w:r>
        <w:tab/>
      </w:r>
    </w:p>
    <w:p w14:paraId="7BD3E3D0" w14:textId="77777777" w:rsidR="00A27A80" w:rsidRDefault="00486839" w:rsidP="00064FB9">
      <w:pPr>
        <w:spacing w:after="0" w:line="259" w:lineRule="auto"/>
        <w:ind w:left="0" w:firstLine="0"/>
      </w:pPr>
      <w:r>
        <w:tab/>
      </w:r>
    </w:p>
    <w:p w14:paraId="02B9567E" w14:textId="6F3D9C4A" w:rsidR="00064FB9" w:rsidRDefault="00486839" w:rsidP="00064FB9">
      <w:pPr>
        <w:ind w:left="-5"/>
      </w:pPr>
      <w:r>
        <w:t>Being</w:t>
      </w:r>
      <w:r w:rsidR="00064FB9">
        <w:t xml:space="preserve"> </w:t>
      </w:r>
      <w:r>
        <w:t>able</w:t>
      </w:r>
      <w:r w:rsidR="00064FB9">
        <w:t xml:space="preserve"> </w:t>
      </w:r>
      <w:r>
        <w:t>to</w:t>
      </w:r>
      <w:r w:rsidR="00064FB9">
        <w:t xml:space="preserve"> </w:t>
      </w:r>
      <w:r>
        <w:t>choose</w:t>
      </w:r>
      <w:r>
        <w:tab/>
        <w:t>options</w:t>
      </w:r>
      <w:r w:rsidR="00064FB9">
        <w:t xml:space="preserve"> </w:t>
      </w:r>
      <w:r>
        <w:t>that</w:t>
      </w:r>
      <w:r w:rsidR="00064FB9">
        <w:t xml:space="preserve"> </w:t>
      </w:r>
      <w:r>
        <w:t>will</w:t>
      </w:r>
      <w:r w:rsidR="00064FB9">
        <w:t xml:space="preserve"> </w:t>
      </w:r>
      <w:r>
        <w:t>create</w:t>
      </w:r>
      <w:r w:rsidR="00064FB9">
        <w:t xml:space="preserve"> </w:t>
      </w:r>
      <w:r>
        <w:t>such</w:t>
      </w:r>
      <w:r w:rsidR="00064FB9">
        <w:t xml:space="preserve"> </w:t>
      </w:r>
      <w:r>
        <w:t>different</w:t>
      </w:r>
      <w:r w:rsidR="00064FB9">
        <w:t xml:space="preserve"> </w:t>
      </w:r>
      <w:r>
        <w:t>answers</w:t>
      </w:r>
      <w:r w:rsidR="00064FB9">
        <w:t xml:space="preserve"> </w:t>
      </w:r>
      <w:r>
        <w:t>wil</w:t>
      </w:r>
      <w:r w:rsidR="00064FB9">
        <w:t xml:space="preserve">l </w:t>
      </w:r>
      <w:r>
        <w:t>put</w:t>
      </w:r>
      <w:r w:rsidR="00064FB9">
        <w:t xml:space="preserve"> </w:t>
      </w:r>
      <w:r>
        <w:t>the</w:t>
      </w:r>
      <w:r w:rsidR="00064FB9">
        <w:t xml:space="preserve"> </w:t>
      </w:r>
      <w:r>
        <w:t>burden</w:t>
      </w:r>
      <w:r w:rsidR="00064FB9">
        <w:t xml:space="preserve"> </w:t>
      </w:r>
      <w:r>
        <w:t>on</w:t>
      </w:r>
      <w:r w:rsidR="00064FB9">
        <w:t xml:space="preserve"> </w:t>
      </w:r>
      <w:r>
        <w:t>lenders</w:t>
      </w:r>
      <w:r w:rsidR="00064FB9">
        <w:t xml:space="preserve"> </w:t>
      </w:r>
      <w:r>
        <w:t>not</w:t>
      </w:r>
      <w:r w:rsidR="00064FB9">
        <w:t xml:space="preserve"> </w:t>
      </w:r>
      <w:r>
        <w:t>only</w:t>
      </w:r>
      <w:r w:rsidR="00064FB9">
        <w:t xml:space="preserve"> </w:t>
      </w:r>
      <w:r>
        <w:t>to</w:t>
      </w:r>
      <w:r w:rsidR="00064FB9">
        <w:t xml:space="preserve"> </w:t>
      </w:r>
      <w:r>
        <w:t>choose</w:t>
      </w:r>
      <w:r w:rsidR="00064FB9">
        <w:t xml:space="preserve"> </w:t>
      </w:r>
      <w:r>
        <w:t>the</w:t>
      </w:r>
      <w:r w:rsidR="00064FB9">
        <w:t xml:space="preserve"> </w:t>
      </w:r>
      <w:r>
        <w:t>most</w:t>
      </w:r>
      <w:r w:rsidR="00064FB9">
        <w:t xml:space="preserve"> </w:t>
      </w:r>
      <w:r>
        <w:t>appropriate</w:t>
      </w:r>
      <w:r w:rsidR="00064FB9">
        <w:t xml:space="preserve"> </w:t>
      </w:r>
      <w:r>
        <w:t>models</w:t>
      </w:r>
      <w:r w:rsidR="00064FB9">
        <w:t xml:space="preserve"> </w:t>
      </w:r>
      <w:r>
        <w:t>for</w:t>
      </w:r>
      <w:r w:rsidR="00064FB9">
        <w:t xml:space="preserve"> </w:t>
      </w:r>
      <w:r>
        <w:t>their</w:t>
      </w:r>
      <w:r w:rsidR="00064FB9">
        <w:t xml:space="preserve"> </w:t>
      </w:r>
      <w:r>
        <w:t>portfolios,</w:t>
      </w:r>
      <w:r w:rsidR="00064FB9">
        <w:t xml:space="preserve"> </w:t>
      </w:r>
      <w:r>
        <w:t>but</w:t>
      </w:r>
      <w:r w:rsidR="00064FB9">
        <w:t xml:space="preserve"> </w:t>
      </w:r>
      <w:r>
        <w:t>in</w:t>
      </w:r>
      <w:r w:rsidR="00064FB9">
        <w:t xml:space="preserve"> </w:t>
      </w:r>
      <w:r>
        <w:t>d</w:t>
      </w:r>
      <w:r>
        <w:t>oing</w:t>
      </w:r>
      <w:r w:rsidR="00064FB9">
        <w:t xml:space="preserve"> </w:t>
      </w:r>
      <w:r>
        <w:t>so</w:t>
      </w:r>
      <w:r w:rsidR="00064FB9">
        <w:t xml:space="preserve"> </w:t>
      </w:r>
      <w:r>
        <w:t>to</w:t>
      </w:r>
      <w:r w:rsidR="00064FB9">
        <w:t xml:space="preserve"> </w:t>
      </w:r>
      <w:r>
        <w:t>also</w:t>
      </w:r>
      <w:r w:rsidR="00064FB9">
        <w:t xml:space="preserve"> </w:t>
      </w:r>
      <w:r>
        <w:t>choose</w:t>
      </w:r>
      <w:r w:rsidR="00064FB9">
        <w:t xml:space="preserve"> </w:t>
      </w:r>
      <w:r>
        <w:t>the</w:t>
      </w:r>
      <w:r w:rsidR="00064FB9">
        <w:t xml:space="preserve"> </w:t>
      </w:r>
      <w:r>
        <w:t>lev</w:t>
      </w:r>
      <w:r>
        <w:t>el</w:t>
      </w:r>
      <w:r w:rsidR="00064FB9">
        <w:t xml:space="preserve"> </w:t>
      </w:r>
      <w:r>
        <w:t>of</w:t>
      </w:r>
      <w:r w:rsidR="00064FB9">
        <w:t xml:space="preserve"> </w:t>
      </w:r>
      <w:r>
        <w:t>loss</w:t>
      </w:r>
      <w:r>
        <w:tab/>
        <w:t>via</w:t>
      </w:r>
      <w:r w:rsidR="00064FB9">
        <w:t xml:space="preserve"> </w:t>
      </w:r>
      <w:r>
        <w:t>the</w:t>
      </w:r>
      <w:r w:rsidR="00064FB9">
        <w:t xml:space="preserve"> </w:t>
      </w:r>
      <w:r>
        <w:t>models</w:t>
      </w:r>
      <w:r w:rsidR="00064FB9">
        <w:t xml:space="preserve"> </w:t>
      </w:r>
      <w:r>
        <w:t>chosen,</w:t>
      </w:r>
      <w:r w:rsidR="00064FB9">
        <w:t xml:space="preserve"> </w:t>
      </w:r>
      <w:r>
        <w:t>and</w:t>
      </w:r>
      <w:r w:rsidR="00064FB9">
        <w:t xml:space="preserve"> </w:t>
      </w:r>
      <w:r>
        <w:t>to</w:t>
      </w:r>
      <w:r w:rsidR="00064FB9">
        <w:t xml:space="preserve"> </w:t>
      </w:r>
      <w:r>
        <w:t>defend</w:t>
      </w:r>
      <w:r w:rsidR="00064FB9">
        <w:t xml:space="preserve"> </w:t>
      </w:r>
      <w:r>
        <w:t>that</w:t>
      </w:r>
      <w:r w:rsidR="00064FB9">
        <w:t xml:space="preserve"> </w:t>
      </w:r>
      <w:r>
        <w:t>choice</w:t>
      </w:r>
      <w:r w:rsidR="00064FB9">
        <w:t xml:space="preserve"> </w:t>
      </w:r>
      <w:r>
        <w:t>to</w:t>
      </w:r>
      <w:r w:rsidR="00064FB9">
        <w:t xml:space="preserve"> </w:t>
      </w:r>
      <w:r>
        <w:t>validators,</w:t>
      </w:r>
      <w:r w:rsidR="00064FB9">
        <w:t xml:space="preserve"> </w:t>
      </w:r>
      <w:r>
        <w:t>auditors,</w:t>
      </w:r>
      <w:r w:rsidR="00064FB9">
        <w:t xml:space="preserve"> </w:t>
      </w:r>
      <w:r>
        <w:t>and</w:t>
      </w:r>
      <w:r w:rsidR="00064FB9">
        <w:t xml:space="preserve"> </w:t>
      </w:r>
      <w:r>
        <w:t>examiners.</w:t>
      </w:r>
    </w:p>
    <w:sectPr w:rsidR="00064FB9">
      <w:footnotePr>
        <w:numRestart w:val="eachPage"/>
      </w:footnotePr>
      <w:pgSz w:w="12240" w:h="15840"/>
      <w:pgMar w:top="1440" w:right="1803" w:bottom="1440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35255" w14:textId="77777777" w:rsidR="00486839" w:rsidRDefault="00486839">
      <w:pPr>
        <w:spacing w:after="0" w:line="240" w:lineRule="auto"/>
      </w:pPr>
      <w:r>
        <w:separator/>
      </w:r>
    </w:p>
  </w:endnote>
  <w:endnote w:type="continuationSeparator" w:id="0">
    <w:p w14:paraId="7ABAD25E" w14:textId="77777777" w:rsidR="00486839" w:rsidRDefault="0048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1A575" w14:textId="77777777" w:rsidR="00486839" w:rsidRDefault="00486839">
      <w:pPr>
        <w:spacing w:after="506" w:line="242" w:lineRule="auto"/>
        <w:ind w:left="0" w:firstLine="0"/>
      </w:pPr>
      <w:r>
        <w:separator/>
      </w:r>
    </w:p>
  </w:footnote>
  <w:footnote w:type="continuationSeparator" w:id="0">
    <w:p w14:paraId="44D12ED9" w14:textId="77777777" w:rsidR="00486839" w:rsidRDefault="00486839">
      <w:pPr>
        <w:spacing w:after="506" w:line="242" w:lineRule="auto"/>
        <w:ind w:left="0" w:firstLine="0"/>
      </w:pPr>
      <w:r>
        <w:continuationSeparator/>
      </w:r>
    </w:p>
  </w:footnote>
  <w:footnote w:id="1">
    <w:p w14:paraId="02A024AA" w14:textId="655B00E1" w:rsidR="00A27A80" w:rsidRDefault="00486839">
      <w:pPr>
        <w:pStyle w:val="footnotedescription"/>
      </w:pPr>
      <w:r>
        <w:rPr>
          <w:rStyle w:val="footnotemark"/>
        </w:rPr>
        <w:footnoteRef/>
      </w:r>
      <w:r>
        <w:t xml:space="preserve"> This</w:t>
      </w:r>
      <w:r w:rsidR="00064FB9">
        <w:t xml:space="preserve"> </w:t>
      </w:r>
      <w:r>
        <w:t>study</w:t>
      </w:r>
      <w:r w:rsidR="00064FB9">
        <w:t xml:space="preserve"> </w:t>
      </w:r>
      <w:r>
        <w:t>was</w:t>
      </w:r>
      <w:r w:rsidR="00064FB9">
        <w:t xml:space="preserve"> </w:t>
      </w:r>
      <w:r>
        <w:t>sponsored</w:t>
      </w:r>
      <w:r w:rsidR="00064FB9">
        <w:t xml:space="preserve"> </w:t>
      </w:r>
      <w:r>
        <w:t>by</w:t>
      </w:r>
      <w:r w:rsidR="00064FB9">
        <w:t xml:space="preserve"> </w:t>
      </w:r>
      <w:r>
        <w:t>Allied</w:t>
      </w:r>
      <w:r w:rsidR="00064FB9">
        <w:t xml:space="preserve"> </w:t>
      </w:r>
      <w:r>
        <w:t>Solutions,</w:t>
      </w:r>
      <w:r w:rsidR="00064FB9">
        <w:t xml:space="preserve"> </w:t>
      </w:r>
      <w:r>
        <w:t>NAFCU</w:t>
      </w:r>
      <w:r w:rsidR="00064FB9">
        <w:t xml:space="preserve"> </w:t>
      </w:r>
      <w:r>
        <w:t>–</w:t>
      </w:r>
      <w:r w:rsidR="00064FB9">
        <w:t xml:space="preserve"> </w:t>
      </w:r>
      <w:r>
        <w:t>National</w:t>
      </w:r>
      <w:r w:rsidR="00064FB9">
        <w:t xml:space="preserve"> </w:t>
      </w:r>
      <w:r>
        <w:t>Association</w:t>
      </w:r>
      <w:r w:rsidR="00064FB9">
        <w:t xml:space="preserve"> </w:t>
      </w:r>
      <w:r>
        <w:t>of</w:t>
      </w:r>
      <w:r w:rsidR="00064FB9">
        <w:t xml:space="preserve"> F</w:t>
      </w:r>
      <w:r>
        <w:t>ederal</w:t>
      </w:r>
      <w:r w:rsidR="00064FB9">
        <w:t xml:space="preserve"> </w:t>
      </w:r>
      <w:r>
        <w:t>Credit</w:t>
      </w:r>
      <w:r w:rsidR="00064FB9">
        <w:t xml:space="preserve"> </w:t>
      </w:r>
      <w:r>
        <w:t>Unions,</w:t>
      </w:r>
      <w:r w:rsidR="00064FB9">
        <w:t xml:space="preserve"> </w:t>
      </w:r>
      <w:r>
        <w:t>and</w:t>
      </w:r>
      <w:r w:rsidR="00064FB9">
        <w:t xml:space="preserve"> </w:t>
      </w:r>
      <w:proofErr w:type="spellStart"/>
      <w:r>
        <w:t>OnApproach</w:t>
      </w:r>
      <w:proofErr w:type="spellEnd"/>
      <w:r>
        <w:t>.</w:t>
      </w:r>
      <w:r w:rsidR="00064FB9">
        <w:t xml:space="preserve"> </w:t>
      </w:r>
      <w:r>
        <w:t>Any</w:t>
      </w:r>
      <w:r w:rsidR="00064FB9">
        <w:t xml:space="preserve"> </w:t>
      </w:r>
      <w:r>
        <w:t>opinions</w:t>
      </w:r>
      <w:r w:rsidR="00064FB9">
        <w:t xml:space="preserve"> </w:t>
      </w:r>
      <w:r>
        <w:t>expressed</w:t>
      </w:r>
      <w:r w:rsidR="00064FB9">
        <w:t xml:space="preserve"> </w:t>
      </w:r>
      <w:r>
        <w:t>here</w:t>
      </w:r>
      <w:r w:rsidR="00064FB9">
        <w:t xml:space="preserve"> </w:t>
      </w:r>
      <w:r>
        <w:t>are</w:t>
      </w:r>
      <w:r w:rsidR="00064FB9">
        <w:t xml:space="preserve"> </w:t>
      </w:r>
      <w:r>
        <w:t>solely</w:t>
      </w:r>
      <w:r w:rsidR="00064FB9">
        <w:t xml:space="preserve"> </w:t>
      </w:r>
      <w:r>
        <w:t>those</w:t>
      </w:r>
      <w:r w:rsidR="00064FB9">
        <w:t xml:space="preserve"> </w:t>
      </w:r>
      <w:r>
        <w:t>of</w:t>
      </w:r>
      <w:r w:rsidR="00064FB9">
        <w:t xml:space="preserve"> </w:t>
      </w:r>
      <w:r>
        <w:t>the</w:t>
      </w:r>
      <w:r w:rsidR="00064FB9">
        <w:t xml:space="preserve"> </w:t>
      </w:r>
      <w:r>
        <w:t>author</w:t>
      </w:r>
      <w:r w:rsidR="00064FB9">
        <w:t xml:space="preserve"> </w:t>
      </w:r>
      <w:r>
        <w:t>and</w:t>
      </w:r>
      <w:r w:rsidR="00064FB9">
        <w:t xml:space="preserve"> </w:t>
      </w:r>
      <w:r>
        <w:t>may</w:t>
      </w:r>
      <w:r w:rsidR="00064FB9">
        <w:t xml:space="preserve"> </w:t>
      </w:r>
      <w:r>
        <w:t>not</w:t>
      </w:r>
      <w:r w:rsidR="00064FB9">
        <w:t xml:space="preserve"> </w:t>
      </w:r>
      <w:r>
        <w:t>represent</w:t>
      </w:r>
      <w:r w:rsidR="00064FB9">
        <w:t xml:space="preserve"> </w:t>
      </w:r>
      <w:r>
        <w:t>the</w:t>
      </w:r>
      <w:r w:rsidR="00064FB9">
        <w:t xml:space="preserve"> </w:t>
      </w:r>
      <w:r>
        <w:t>opinions</w:t>
      </w:r>
      <w:r w:rsidR="00064FB9">
        <w:t xml:space="preserve"> </w:t>
      </w:r>
      <w:r>
        <w:t>of</w:t>
      </w:r>
      <w:r w:rsidR="00064FB9">
        <w:t xml:space="preserve"> </w:t>
      </w:r>
      <w:r>
        <w:t>the</w:t>
      </w:r>
      <w:r w:rsidR="00064FB9">
        <w:t xml:space="preserve"> </w:t>
      </w:r>
      <w:r>
        <w:t>sponsors.</w:t>
      </w:r>
      <w:r>
        <w:tab/>
      </w:r>
    </w:p>
    <w:p w14:paraId="54AB2EB8" w14:textId="77777777" w:rsidR="00A27A80" w:rsidRDefault="00486839">
      <w:pPr>
        <w:pStyle w:val="footnotedescription"/>
        <w:spacing w:after="0" w:line="259" w:lineRule="auto"/>
      </w:pPr>
      <w:r>
        <w:rPr>
          <w:i w:val="0"/>
        </w:rPr>
        <w:tab/>
      </w:r>
      <w:r>
        <w:rPr>
          <w:i w:val="0"/>
        </w:rP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80"/>
    <w:rsid w:val="00064FB9"/>
    <w:rsid w:val="00486839"/>
    <w:rsid w:val="00A27A80"/>
    <w:rsid w:val="00C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5696"/>
  <w15:docId w15:val="{19EF9EFE-02E6-4FD5-9FE0-3B0BDB68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10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506" w:line="242" w:lineRule="auto"/>
    </w:pPr>
    <w:rPr>
      <w:rFonts w:ascii="Cambria" w:eastAsia="Cambria" w:hAnsi="Cambria" w:cs="Cambria"/>
      <w:i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i/>
      <w:color w:val="000000"/>
      <w:sz w:val="24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9034E9FD-7C08-49AC-ABD9-F41BFA1DB8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11970-5CB0-425B-9A21-66AADBB551D5}"/>
</file>

<file path=customXml/itemProps3.xml><?xml version="1.0" encoding="utf-8"?>
<ds:datastoreItem xmlns:ds="http://schemas.openxmlformats.org/officeDocument/2006/customXml" ds:itemID="{FC9512AD-D4B8-4122-A083-F99C21B49F53}"/>
</file>

<file path=customXml/itemProps4.xml><?xml version="1.0" encoding="utf-8"?>
<ds:datastoreItem xmlns:ds="http://schemas.openxmlformats.org/officeDocument/2006/customXml" ds:itemID="{69250C1C-1C3A-4DAF-B739-BAC964D8C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CECL Study 20170717 CSCC XV</dc:title>
  <dc:subject/>
  <dc:creator>Joseph</dc:creator>
  <cp:keywords/>
  <cp:lastModifiedBy>Jen</cp:lastModifiedBy>
  <cp:revision>3</cp:revision>
  <dcterms:created xsi:type="dcterms:W3CDTF">2020-11-02T12:26:00Z</dcterms:created>
  <dcterms:modified xsi:type="dcterms:W3CDTF">2020-11-02T12:34:00Z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