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52406" w14:textId="77777777" w:rsidR="009C7506" w:rsidRDefault="008B3AB3">
      <w:pPr>
        <w:spacing w:after="25" w:line="460" w:lineRule="auto"/>
        <w:ind w:left="370" w:right="188"/>
        <w:jc w:val="center"/>
      </w:pPr>
      <w:r>
        <w:rPr>
          <w:b/>
          <w:sz w:val="28"/>
        </w:rPr>
        <w:t xml:space="preserve">How the Government Intervention Can Affect the Behaviors of Inventors and the Rating Agencies in Corporate Bond Market?  </w:t>
      </w:r>
    </w:p>
    <w:p w14:paraId="7C73F56F" w14:textId="77777777" w:rsidR="009C7506" w:rsidRDefault="008B3AB3">
      <w:pPr>
        <w:spacing w:after="62" w:line="259" w:lineRule="auto"/>
        <w:ind w:left="1488" w:right="0"/>
        <w:jc w:val="left"/>
      </w:pPr>
      <w:r>
        <w:rPr>
          <w:b/>
          <w:sz w:val="28"/>
        </w:rPr>
        <w:t>-- Evidence from China’s Corporate Bond Market.</w:t>
      </w:r>
      <w:r>
        <w:rPr>
          <w:b/>
          <w:sz w:val="32"/>
        </w:rPr>
        <w:t xml:space="preserve">  </w:t>
      </w:r>
    </w:p>
    <w:p w14:paraId="079B9BD0" w14:textId="77777777" w:rsidR="009C7506" w:rsidRDefault="008B3AB3">
      <w:pPr>
        <w:spacing w:after="0" w:line="259" w:lineRule="auto"/>
        <w:ind w:left="0" w:right="0" w:firstLine="0"/>
        <w:jc w:val="center"/>
      </w:pPr>
      <w:r>
        <w:rPr>
          <w:b/>
          <w:sz w:val="24"/>
        </w:rPr>
        <w:t xml:space="preserve"> </w:t>
      </w:r>
    </w:p>
    <w:p w14:paraId="77B53108" w14:textId="77777777" w:rsidR="009C7506" w:rsidRDefault="008B3AB3">
      <w:pPr>
        <w:spacing w:after="84" w:line="259" w:lineRule="auto"/>
        <w:ind w:right="58"/>
        <w:jc w:val="center"/>
      </w:pPr>
      <w:r>
        <w:rPr>
          <w:sz w:val="21"/>
        </w:rPr>
        <w:t xml:space="preserve">HUANG Bo  CHEN Liqing  HE Lin* </w:t>
      </w:r>
    </w:p>
    <w:p w14:paraId="7D270221" w14:textId="77777777" w:rsidR="009C7506" w:rsidRDefault="008B3AB3">
      <w:pPr>
        <w:spacing w:after="14" w:line="259" w:lineRule="auto"/>
        <w:ind w:right="61"/>
        <w:jc w:val="center"/>
      </w:pPr>
      <w:r>
        <w:rPr>
          <w:sz w:val="21"/>
        </w:rPr>
        <w:t xml:space="preserve"> ( School of Finance</w:t>
      </w:r>
      <w:r>
        <w:rPr>
          <w:rFonts w:ascii="SimSun" w:eastAsia="SimSun" w:hAnsi="SimSun" w:cs="SimSun"/>
          <w:sz w:val="21"/>
        </w:rPr>
        <w:t>，</w:t>
      </w:r>
      <w:r>
        <w:rPr>
          <w:sz w:val="21"/>
        </w:rPr>
        <w:t xml:space="preserve">Renmin University of China) </w:t>
      </w:r>
    </w:p>
    <w:p w14:paraId="5C89A080" w14:textId="77777777" w:rsidR="009C7506" w:rsidRDefault="008B3AB3">
      <w:pPr>
        <w:spacing w:after="48" w:line="259" w:lineRule="auto"/>
        <w:ind w:left="0" w:right="7" w:firstLine="0"/>
        <w:jc w:val="center"/>
      </w:pPr>
      <w:r>
        <w:rPr>
          <w:sz w:val="21"/>
        </w:rPr>
        <w:t xml:space="preserve"> </w:t>
      </w:r>
    </w:p>
    <w:p w14:paraId="26DF39B9" w14:textId="77777777" w:rsidR="009C7506" w:rsidRDefault="008B3AB3">
      <w:pPr>
        <w:spacing w:after="48" w:line="259" w:lineRule="auto"/>
        <w:ind w:left="0" w:right="7" w:firstLine="0"/>
        <w:jc w:val="center"/>
      </w:pPr>
      <w:r>
        <w:rPr>
          <w:sz w:val="21"/>
        </w:rPr>
        <w:t xml:space="preserve"> </w:t>
      </w:r>
    </w:p>
    <w:p w14:paraId="5CB64546" w14:textId="77777777" w:rsidR="009C7506" w:rsidRDefault="008B3AB3">
      <w:pPr>
        <w:spacing w:after="0" w:line="307" w:lineRule="auto"/>
        <w:ind w:left="0" w:right="0" w:firstLine="0"/>
        <w:jc w:val="left"/>
      </w:pPr>
      <w:r>
        <w:rPr>
          <w:sz w:val="21"/>
        </w:rPr>
        <w:t xml:space="preserve">Key Words: Implicit Guarantee; Rigid Payment; Defaults on Corporate Debt; Credit Spread; Credit Rating </w:t>
      </w:r>
    </w:p>
    <w:p w14:paraId="578C6AD1" w14:textId="77777777" w:rsidR="009C7506" w:rsidRDefault="008B3AB3">
      <w:pPr>
        <w:spacing w:after="62" w:line="259" w:lineRule="auto"/>
        <w:ind w:left="0" w:right="0" w:firstLine="0"/>
        <w:jc w:val="left"/>
      </w:pPr>
      <w:r>
        <w:rPr>
          <w:sz w:val="21"/>
        </w:rPr>
        <w:t xml:space="preserve"> </w:t>
      </w:r>
    </w:p>
    <w:p w14:paraId="40EAAC57" w14:textId="77777777" w:rsidR="009C7506" w:rsidRDefault="008B3AB3">
      <w:pPr>
        <w:pStyle w:val="Heading1"/>
        <w:spacing w:after="7"/>
        <w:ind w:left="0" w:firstLine="0"/>
        <w:jc w:val="left"/>
      </w:pPr>
      <w:r>
        <w:rPr>
          <w:sz w:val="24"/>
        </w:rPr>
        <w:t xml:space="preserve">Abstract </w:t>
      </w:r>
    </w:p>
    <w:p w14:paraId="05E26C56" w14:textId="77777777" w:rsidR="009C7506" w:rsidRDefault="008B3AB3">
      <w:pPr>
        <w:spacing w:line="259" w:lineRule="auto"/>
        <w:ind w:left="0" w:right="0" w:firstLine="0"/>
        <w:jc w:val="left"/>
      </w:pPr>
      <w:r>
        <w:rPr>
          <w:sz w:val="24"/>
        </w:rPr>
        <w:t xml:space="preserve"> </w:t>
      </w:r>
    </w:p>
    <w:p w14:paraId="5A62D3D7" w14:textId="77777777" w:rsidR="009C7506" w:rsidRDefault="008B3AB3">
      <w:pPr>
        <w:ind w:left="21" w:right="45"/>
      </w:pPr>
      <w:r>
        <w:t xml:space="preserve">In this study, we investigate </w:t>
      </w:r>
      <w:r>
        <w:t xml:space="preserve">how the government intervention can affect the behaviors of participants in bond market? We used China’s corporate bonds data from 2008 to 2015 as research samples. We found that from 2008 to 2013, the bond market was under strong government intervention. </w:t>
      </w:r>
      <w:r>
        <w:t>All participants seem to have plenty of confidence in the market, since there was no defaulted bond until 2014. Thus, the investors were nearly risk neutral, and the credit spreads had no reaction to its real risk premium level, while the rating agencies w</w:t>
      </w:r>
      <w:r>
        <w:t>ere motivated to issue inflated credit ratings under the pressure of the underwriters. After 2014, the bond defaults sent a signal on intervention weakening, and the strong expectations on "implicit guarantee" was broken in the market. Meanwhile, the inves</w:t>
      </w:r>
      <w:r>
        <w:t xml:space="preserve">tors formed a new expectation on "rigid redemption". We found significant improvements in ratings quality since pressure of the rating failure punishment has elevated their reputational concerns. </w:t>
      </w:r>
    </w:p>
    <w:p w14:paraId="1C65CC94" w14:textId="77777777" w:rsidR="009C7506" w:rsidRDefault="008B3AB3">
      <w:pPr>
        <w:spacing w:after="187" w:line="259" w:lineRule="auto"/>
        <w:ind w:left="442" w:right="0" w:firstLine="0"/>
        <w:jc w:val="left"/>
      </w:pPr>
      <w:r>
        <w:rPr>
          <w:sz w:val="24"/>
        </w:rPr>
        <w:t xml:space="preserve"> </w:t>
      </w:r>
    </w:p>
    <w:p w14:paraId="08660BB5" w14:textId="77777777" w:rsidR="009C7506" w:rsidRDefault="008B3AB3">
      <w:pPr>
        <w:pStyle w:val="Heading1"/>
        <w:ind w:left="662"/>
      </w:pPr>
      <w:r>
        <w:t xml:space="preserve">1. Introduction </w:t>
      </w:r>
    </w:p>
    <w:p w14:paraId="4DDBCC3C" w14:textId="77777777" w:rsidR="009C7506" w:rsidRDefault="008B3AB3">
      <w:pPr>
        <w:spacing w:line="259" w:lineRule="auto"/>
        <w:ind w:left="0" w:right="0" w:firstLine="0"/>
        <w:jc w:val="left"/>
      </w:pPr>
      <w:r>
        <w:rPr>
          <w:sz w:val="24"/>
        </w:rPr>
        <w:t xml:space="preserve"> </w:t>
      </w:r>
    </w:p>
    <w:p w14:paraId="0436FD75" w14:textId="77777777" w:rsidR="009C7506" w:rsidRDefault="008B3AB3">
      <w:pPr>
        <w:ind w:left="21" w:right="45"/>
      </w:pPr>
      <w:r>
        <w:t>Investors and rating agencies in the b</w:t>
      </w:r>
      <w:r>
        <w:t xml:space="preserve">ond market have heterogeneous reactions to government intervention based on their own utility optimizations. How these participants respond to the changing of the government intervention level? It is a question yet to be answered. In this paper, we define </w:t>
      </w:r>
      <w:r>
        <w:t xml:space="preserve">for the first time that the China’s bond default event as a sign of the weakening in government intervention level, and then we look at the reactions of the investors and the rating agencies to this change. </w:t>
      </w:r>
    </w:p>
    <w:p w14:paraId="4CA614F2" w14:textId="77777777" w:rsidR="009C7506" w:rsidRDefault="008B3AB3">
      <w:pPr>
        <w:spacing w:after="36" w:line="259" w:lineRule="auto"/>
        <w:ind w:left="0" w:right="0" w:firstLine="0"/>
        <w:jc w:val="left"/>
      </w:pPr>
      <w:r>
        <w:t xml:space="preserve"> </w:t>
      </w:r>
    </w:p>
    <w:p w14:paraId="1A7E5E89" w14:textId="77777777" w:rsidR="009C7506" w:rsidRDefault="008B3AB3">
      <w:pPr>
        <w:ind w:left="21" w:right="45"/>
      </w:pPr>
      <w:r>
        <w:t>While government intervention in business is n</w:t>
      </w:r>
      <w:r>
        <w:t xml:space="preserve">ot unique to china, the Chinese corporate bond setting is particularly interesting for two reasons. First, the Chinese government plays an important role in business activities through its majority ownership in SOEs and its right to appoint top executives </w:t>
      </w:r>
      <w:r>
        <w:t>for SOEs (Allen et al., 2005). Although the bonds issued by private enterprises are growing in number, SOEs still dominate the market in China. Second, the first corporate bond default event in China occurred in 2014. Before that, the bond market was under</w:t>
      </w:r>
      <w:r>
        <w:t xml:space="preserve"> strong government intervention, where defaults were viewed as a genuine impossibility, which </w:t>
      </w:r>
      <w:r>
        <w:lastRenderedPageBreak/>
        <w:t>frankly is an abnormal phenomenon in bond market. The government has been energetically involved in the bond market. Therefore, there are some anomalies existed i</w:t>
      </w:r>
      <w:r>
        <w:t xml:space="preserve">n the market such as so-called "implicit guarantee" and "rigid payment".  </w:t>
      </w:r>
    </w:p>
    <w:p w14:paraId="7CFD6058" w14:textId="77777777" w:rsidR="009C7506" w:rsidRDefault="008B3AB3">
      <w:pPr>
        <w:spacing w:after="36" w:line="259" w:lineRule="auto"/>
        <w:ind w:left="0" w:right="0" w:firstLine="0"/>
        <w:jc w:val="left"/>
      </w:pPr>
      <w:r>
        <w:t xml:space="preserve"> </w:t>
      </w:r>
    </w:p>
    <w:p w14:paraId="1F66011D" w14:textId="77777777" w:rsidR="009C7506" w:rsidRDefault="008B3AB3">
      <w:pPr>
        <w:ind w:left="21" w:right="45"/>
      </w:pPr>
      <w:r>
        <w:t>"Implicit guarantee" expectation is the investors and rating agencies expect the bond will be potentially guaranteed by third party. In other words, they believe that the third pa</w:t>
      </w:r>
      <w:r>
        <w:t>rty such as local governments will guarantee or support implicitly to avoid defaults. These expectations alter the default probabilities of the bond, so as the behaviors of the investors and the rating agencies in the market. In fact, the so-called "implic</w:t>
      </w:r>
      <w:r>
        <w:t>it guarantee" of bonds is essentially not guaranteed by law or regulations (Brandt and Li, 2003; Cull and Xu, 2003, 2005; Allen et al., 2005). Its own attributes are very uncertain compared with the "explicit guarantee". "Rigid payment" expectation is a ve</w:t>
      </w:r>
      <w:r>
        <w:t>ry special phenomenon in China, which means that although the bond has defaulted, rather than goes into normal bankruptcy and liquidation procedures, it will be completely repaid by the third party who has not legal responsibilities. Once the defaults occu</w:t>
      </w:r>
      <w:r>
        <w:t>rred, the "implicit guarantee" expectations will naturally be broken, and the participants in the market are unwilling to give up the hope of government intervention, then will form the "rigid payment" expectation which expect the third party such like gov</w:t>
      </w:r>
      <w:r>
        <w:t>ernment (or other companies appointed by government) could implement a certain intervention to</w:t>
      </w:r>
      <w:r>
        <w:rPr>
          <w:rFonts w:ascii="Arial" w:eastAsia="Arial" w:hAnsi="Arial" w:cs="Arial"/>
          <w:color w:val="638C0B"/>
          <w:sz w:val="15"/>
        </w:rPr>
        <w:t xml:space="preserve"> </w:t>
      </w:r>
      <w:r>
        <w:t>be responsible for payment. Such expectations have major impacts on the investors and have little impacts on the rating agencies, since the rating agencies alrea</w:t>
      </w:r>
      <w:r>
        <w:t xml:space="preserve">dy suffer the rating error loss when the defaults happen. </w:t>
      </w:r>
    </w:p>
    <w:p w14:paraId="274573CD" w14:textId="77777777" w:rsidR="009C7506" w:rsidRDefault="008B3AB3">
      <w:pPr>
        <w:spacing w:after="36" w:line="259" w:lineRule="auto"/>
        <w:ind w:left="0" w:right="0" w:firstLine="0"/>
        <w:jc w:val="left"/>
      </w:pPr>
      <w:r>
        <w:t xml:space="preserve"> </w:t>
      </w:r>
    </w:p>
    <w:p w14:paraId="2E785724" w14:textId="77777777" w:rsidR="009C7506" w:rsidRDefault="008B3AB3">
      <w:pPr>
        <w:ind w:left="21" w:right="45"/>
      </w:pPr>
      <w:r>
        <w:t>The existing literatures on China’s bond market mainly focus on municipal bonds. However, it is not an ideal subject to reflect the markets response on the changing of government intervention. Th</w:t>
      </w:r>
      <w:r>
        <w:t>e municipal bonds have natural government support and the credit spread formation mechanism is also not rational. Thus, the research on this subject cannot efficiently reflect how the changing level of government intervention will affect the market partici</w:t>
      </w:r>
      <w:r>
        <w:t xml:space="preserve">pants’ behaviors. This paper uses the 2014 (first bond defaulted in this year) as the exogenous variables to depict the changing in government intervention, and clarifies the "implicit guarantee” factors of corporate bonds mainly by the company properties </w:t>
      </w:r>
      <w:r>
        <w:t>and the bond underwriters’ background. We analyze changing of expectations before and after the first bond default occurred. This paper creatively dissects the expectation of government intervention on two phases (includes "implicit guarantee"-before defau</w:t>
      </w:r>
      <w:r>
        <w:t>lt occurred and "rigid payment" after default occurred), and focus on the evolution mechanism of the two kinds of expectations under the changing of government intervention. Our empirical results show that in the 2008-2013 sample, the investors charge lowe</w:t>
      </w:r>
      <w:r>
        <w:t>r spreads on state-owned enterprises. The rating agencies also give higher ratings on those. The background information, like the property of the leading underwriters is neglected in the pricing in this period because the investors have excessive confidenc</w:t>
      </w:r>
      <w:r>
        <w:t>e towards issuers’ state-owned property and the property of the issuer is the dominant variable. The results show that the state-owned property is indeed considered as "implicit guarantee" factors and reduce the credit spread. We find that the rating agenc</w:t>
      </w:r>
      <w:r>
        <w:t>ies capture the information like the property of the leading underwriters. The leading underwriters could also participate in the payment process and they also send the message as "implicit guarantee”. More importantly, in order to issue bond smoothly, bot</w:t>
      </w:r>
      <w:r>
        <w:t xml:space="preserve">h the issuers and the leading underwriters have </w:t>
      </w:r>
      <w:r>
        <w:lastRenderedPageBreak/>
        <w:t>incentives to put pressure on rating agencies to give inflate rating. While the rating payment mode is the "issuer pays" mode and the rating market is very competitive. For the sake of profit, the rating agen</w:t>
      </w:r>
      <w:r>
        <w:t>cies are likely to give inflate ratings. Simultaneously, there are no defaults in this stage, the rating agencies' rating error cost is very low, so that they tend to give inflate rating on the bond issued by underwriters who has good reputation and strong</w:t>
      </w:r>
      <w:r>
        <w:t xml:space="preserve"> strength.  </w:t>
      </w:r>
    </w:p>
    <w:p w14:paraId="59B3C77C" w14:textId="77777777" w:rsidR="009C7506" w:rsidRDefault="008B3AB3">
      <w:pPr>
        <w:spacing w:after="36" w:line="259" w:lineRule="auto"/>
        <w:ind w:left="0" w:right="0" w:firstLine="0"/>
        <w:jc w:val="left"/>
      </w:pPr>
      <w:r>
        <w:t xml:space="preserve"> </w:t>
      </w:r>
    </w:p>
    <w:p w14:paraId="60F8BDDB" w14:textId="77777777" w:rsidR="009C7506" w:rsidRDefault="008B3AB3">
      <w:pPr>
        <w:ind w:left="21" w:right="45"/>
      </w:pPr>
      <w:r>
        <w:t xml:space="preserve">After the 2014, all parties’ expectations of the government intervention in the bond market have been weakened considerably. The investors were entangled with whether the government will step in, but they started to care about whether there </w:t>
      </w:r>
      <w:r>
        <w:t>are others who will continue to take the responsibility of bond payment after the default.  Investors found that the underwriters could be good potential payers in the payment process. So, in this period, they capture the property of the leading underwrite</w:t>
      </w:r>
      <w:r>
        <w:t>rs. From the empirical results, we find that the significance level for the impacts of the leading underwriters on the spreads has been greatly improved. That verifies the hypothesis that, while government reduce interventions on market, the investors shif</w:t>
      </w:r>
      <w:r>
        <w:t>t the former single attention on direct government properties to wider implicit guarantee factors, i.e., the properties of all the potential participants in payment. Furthermore, the government direct intervention is the dominant variable, so that the impa</w:t>
      </w:r>
      <w:r>
        <w:t>cts of the leading underwriters are much weaker comparing to the properties of the issuers. Meanwhile, the rating agencies appear the heterogeneous reaction at this stage. The defaulted bond does not enter the usual bankruptcy and liquidation procedures. I</w:t>
      </w:r>
      <w:r>
        <w:t>ronically, they still realized full payment shortly after the default event. However, once the bond default happens, the rating agency's rating will be considered as the severe failure. In reality, after the default, the market has blamed the ratings agenc</w:t>
      </w:r>
      <w:r>
        <w:t>ies' inflated ratings, and thus many rating agencies have suffered a sharp drop in business. The rating error cost arises in this period. The empirical results show that the impacts of the leading underwriters on the rating have been greatly decreased. Thi</w:t>
      </w:r>
      <w:r>
        <w:t xml:space="preserve">s is completely consistent with the hypothesis, the default event makes the rating agencies no longer be sensitive to the leading underwriters, and they are more rational.   </w:t>
      </w:r>
    </w:p>
    <w:p w14:paraId="41986448" w14:textId="77777777" w:rsidR="009C7506" w:rsidRDefault="008B3AB3">
      <w:pPr>
        <w:spacing w:after="39" w:line="259" w:lineRule="auto"/>
        <w:ind w:left="0" w:right="0" w:firstLine="0"/>
        <w:jc w:val="left"/>
      </w:pPr>
      <w:r>
        <w:t xml:space="preserve"> </w:t>
      </w:r>
    </w:p>
    <w:p w14:paraId="0E4C0350" w14:textId="77777777" w:rsidR="009C7506" w:rsidRDefault="008B3AB3">
      <w:pPr>
        <w:ind w:left="21" w:right="45"/>
      </w:pPr>
      <w:r>
        <w:rPr>
          <w:sz w:val="21"/>
        </w:rPr>
        <w:t>The rest of this paper proceeds as follows</w:t>
      </w:r>
      <w:r>
        <w:t>: the second section reviews the stud</w:t>
      </w:r>
      <w:r>
        <w:t xml:space="preserve">ies on corporate bond spreads and credit ratings within the existed literatures. The third section proposes a series of hypothesis on the investors and the rating agencies in China. The fourth section is the research method and data description. The fifth </w:t>
      </w:r>
      <w:r>
        <w:t xml:space="preserve">section is the empirical analysis and result. </w:t>
      </w:r>
    </w:p>
    <w:p w14:paraId="1527CFC9" w14:textId="77777777" w:rsidR="009C7506" w:rsidRDefault="008B3AB3">
      <w:pPr>
        <w:ind w:left="21" w:right="45"/>
      </w:pPr>
      <w:r>
        <w:t xml:space="preserve">The sixth section is the conclusion of this paper. </w:t>
      </w:r>
    </w:p>
    <w:p w14:paraId="335AFC94" w14:textId="77777777" w:rsidR="009C7506" w:rsidRDefault="008B3AB3">
      <w:pPr>
        <w:spacing w:after="187" w:line="259" w:lineRule="auto"/>
        <w:ind w:left="442" w:right="0" w:firstLine="0"/>
        <w:jc w:val="left"/>
      </w:pPr>
      <w:r>
        <w:rPr>
          <w:sz w:val="24"/>
        </w:rPr>
        <w:t xml:space="preserve"> </w:t>
      </w:r>
    </w:p>
    <w:p w14:paraId="44989A33" w14:textId="77777777" w:rsidR="009C7506" w:rsidRDefault="008B3AB3">
      <w:pPr>
        <w:pStyle w:val="Heading1"/>
        <w:spacing w:after="273"/>
        <w:ind w:left="370" w:right="421"/>
      </w:pPr>
      <w:r>
        <w:t xml:space="preserve">2. Background  </w:t>
      </w:r>
    </w:p>
    <w:p w14:paraId="2D60679A" w14:textId="77777777" w:rsidR="009C7506" w:rsidRDefault="008B3AB3">
      <w:pPr>
        <w:spacing w:after="95" w:line="259" w:lineRule="auto"/>
        <w:ind w:left="11" w:right="0" w:firstLine="0"/>
        <w:jc w:val="center"/>
      </w:pPr>
      <w:r>
        <w:rPr>
          <w:b/>
          <w:sz w:val="28"/>
        </w:rPr>
        <w:t xml:space="preserve"> </w:t>
      </w:r>
    </w:p>
    <w:p w14:paraId="667346F3" w14:textId="77777777" w:rsidR="009C7506" w:rsidRDefault="008B3AB3">
      <w:pPr>
        <w:pStyle w:val="Heading2"/>
        <w:ind w:left="-5" w:right="41"/>
      </w:pPr>
      <w:r>
        <w:t xml:space="preserve">2.1 The transformation of government intervention and market response </w:t>
      </w:r>
    </w:p>
    <w:p w14:paraId="6F75C778" w14:textId="77777777" w:rsidR="009C7506" w:rsidRDefault="008B3AB3">
      <w:pPr>
        <w:spacing w:after="36" w:line="259" w:lineRule="auto"/>
        <w:ind w:left="0" w:right="0" w:firstLine="0"/>
        <w:jc w:val="left"/>
      </w:pPr>
      <w:r>
        <w:t xml:space="preserve"> </w:t>
      </w:r>
    </w:p>
    <w:p w14:paraId="147235B7" w14:textId="77777777" w:rsidR="009C7506" w:rsidRDefault="008B3AB3">
      <w:pPr>
        <w:ind w:left="21" w:right="45"/>
      </w:pPr>
      <w:r>
        <w:t>It is widely believed that the governments have direct intervention in the bond market, and the issuers whose property is a state-owned enterprise or which has a government background are given premiums in the bond rating and pricing procedures. In the stu</w:t>
      </w:r>
      <w:r>
        <w:t xml:space="preserve">dy of mature bond market in developed countries, Ang et al. (2000) discusses that the company ownership structure and some other similar non-financial factors can have influence on their debt financing costs. But </w:t>
      </w:r>
      <w:r>
        <w:lastRenderedPageBreak/>
        <w:t>such measurements are mostly confined in th</w:t>
      </w:r>
      <w:r>
        <w:t>e measures of the government control of the company. And they do not consider them as representatives of "implicit guarantee" factors. Moreover, for immature bond market in developing countries such as China, India, etc., a large number of literatures focu</w:t>
      </w:r>
      <w:r>
        <w:t>s on municipal bonds’ government's invisible guarantee. Chen and Wang (2015) consider that the government intervention represented by “implicit guarantee" influence the municipal bonds’ pricing. They emphasis that with the government strengthening their im</w:t>
      </w:r>
      <w:r>
        <w:t>plicit guarantee, the municipal bonds’ investment return and explicit guarantee will accordingly be improved. Arellano (2008), Yue (2010), Chen and Wang (2015), point out that the investment return and the credit rating have certain influence on the spread</w:t>
      </w:r>
      <w:r>
        <w:t xml:space="preserve"> forming mechanism under the premise of implicit government guarantee. Mara Faccio, Ronald w. Masulis and John j. McConnell (2006) use the data analysis of 450 enterprises which  may have some political associations in 35 countries and conclude that govern</w:t>
      </w:r>
      <w:r>
        <w:t>ment have preference to support and rescue enterprises with close connections. Altman (1990), Guha (2002) found that the higher the GDP and GDP growth rate, the more likely the local government is able to provide implicit guarantee, and the smaller the def</w:t>
      </w:r>
      <w:r>
        <w:t>ault risk and the credit spread. Fisman (2001) shows that the political relations in the transition economy encourage companies to take advantage of such political relations and obtain implicit guarantees of government. And Johnson and Mitton (2003) use th</w:t>
      </w:r>
      <w:r>
        <w:t xml:space="preserve">e example of Malaysia; Khwaja and Mian (2005) use the example of Pakistan and Cull and Xu (2005) use the example of Chinese companies to show that the companies who have political association prefer and are easier to access debt financing. These companies </w:t>
      </w:r>
      <w:r>
        <w:t>may have higher default probabilities and lower profitability but still can pay the lower interest rates to lenders. All these literatures suggest that in less matured bond market, bond pricing dependents on non-marketization factors and the investors gene</w:t>
      </w:r>
      <w:r>
        <w:t>rally have subjective expectations on "implicit guarantee" behind the bonds. In China, the companies’ properties are usually separated into two categories, the state-owned and private enterprises. These two groups have fundamental differences in the financ</w:t>
      </w:r>
      <w:r>
        <w:t>ing environment, the objective function and governance structure, etc. (Brandt and Li, 2003; Cull and Xu, 2003200; five Allen et al., 2005). Thus, we distinguish the properties of enterprises and regard state-owned property as a proxy indicator of the "imp</w:t>
      </w:r>
      <w:r>
        <w:t xml:space="preserve">licit guarantee" . </w:t>
      </w:r>
    </w:p>
    <w:p w14:paraId="7C836F57" w14:textId="77777777" w:rsidR="009C7506" w:rsidRDefault="008B3AB3">
      <w:pPr>
        <w:spacing w:after="36" w:line="259" w:lineRule="auto"/>
        <w:ind w:left="0" w:right="0" w:firstLine="0"/>
        <w:jc w:val="left"/>
      </w:pPr>
      <w:r>
        <w:t xml:space="preserve"> </w:t>
      </w:r>
    </w:p>
    <w:p w14:paraId="59534FD8" w14:textId="77777777" w:rsidR="009C7506" w:rsidRDefault="008B3AB3">
      <w:pPr>
        <w:ind w:left="21" w:right="45"/>
      </w:pPr>
      <w:r>
        <w:t xml:space="preserve">The government intervention can also affect bond’s pricing and ratings through other indirect channels. In terms of corporate bond issuance, the underwriters have </w:t>
      </w:r>
      <w:r>
        <w:t>played a pivotal role in the process of corporate bond issuance. The reputation and the strength of the large underwriters might easily affect the pricing and rating. The issuers tend to prefer underwriters with higher reputations and strong strength to un</w:t>
      </w:r>
      <w:r>
        <w:t>derwrite their corporate bonds. The underwriter plays as an information carrier which can pass the company information to investors through public disclosure. During the underwriting, the high reputation underwriters will consider such underwriting has inf</w:t>
      </w:r>
      <w:r>
        <w:t xml:space="preserve">luence on their later reputation. First of all, it has high opportunity cost of fraud that a failure of underwriting will produce severe negative effects on reputation. Secondly, a good relationship with investors is the basis of underwriting. In order to </w:t>
      </w:r>
      <w:r>
        <w:t>maintain relations with investors, underwriters tend to recommend outstanding bonds to investors. Combined with the above considerations, the underwriters with higher reputations will choose to underwrite corporate bonds issued by the companies with high r</w:t>
      </w:r>
      <w:r>
        <w:t xml:space="preserve">eputation and safety. And the investors have reasons to believe that high reputation underwriters are more honest, diligent </w:t>
      </w:r>
      <w:r>
        <w:lastRenderedPageBreak/>
        <w:t xml:space="preserve">and trustworthy. As a result, the reputation and strength of the leading underwriters will influence the investors’ expectations of </w:t>
      </w:r>
      <w:r>
        <w:t>"implicit guarantee" and "rigid payment". On the other hand, they tend to persuade ratings agencies to give a higher rating towards bonds for the smooth issuance. Gande and Puri use early data to do the regression analysis and find that, comparing with ord</w:t>
      </w:r>
      <w:r>
        <w:t>inary investment banks which also can underwrite bonds, the investors are willing to pay higher prices and receive corresponding lower yields for the bonds underwritten by banks. It is generally believed that high reputation underwriters will match high qu</w:t>
      </w:r>
      <w:r>
        <w:t>ality issuers and vice versa. Considering the corporate bond issuance mechanism in China, we find that underwriters play a more active role so that the leading underwriters’ reputation and strength is an important factor which cannot be ignored when we con</w:t>
      </w:r>
      <w:r>
        <w:t xml:space="preserve">sider the bonds implicit guarantee power.  </w:t>
      </w:r>
    </w:p>
    <w:p w14:paraId="6C2AF964" w14:textId="77777777" w:rsidR="009C7506" w:rsidRDefault="008B3AB3">
      <w:pPr>
        <w:spacing w:after="41" w:line="259" w:lineRule="auto"/>
        <w:ind w:left="0" w:right="0" w:firstLine="0"/>
        <w:jc w:val="left"/>
      </w:pPr>
      <w:r>
        <w:t xml:space="preserve"> </w:t>
      </w:r>
    </w:p>
    <w:p w14:paraId="47AE6F0F" w14:textId="77777777" w:rsidR="009C7506" w:rsidRDefault="008B3AB3">
      <w:pPr>
        <w:pStyle w:val="Heading2"/>
        <w:ind w:left="-5" w:right="41"/>
      </w:pPr>
      <w:r>
        <w:t xml:space="preserve">2.2 Research on the quality of credit rating agencies </w:t>
      </w:r>
    </w:p>
    <w:p w14:paraId="09E76480" w14:textId="77777777" w:rsidR="009C7506" w:rsidRDefault="008B3AB3">
      <w:pPr>
        <w:spacing w:after="31" w:line="259" w:lineRule="auto"/>
        <w:ind w:left="0" w:right="0" w:firstLine="0"/>
        <w:jc w:val="left"/>
      </w:pPr>
      <w:r>
        <w:rPr>
          <w:b/>
        </w:rPr>
        <w:t xml:space="preserve"> </w:t>
      </w:r>
    </w:p>
    <w:p w14:paraId="0D073202" w14:textId="77777777" w:rsidR="009C7506" w:rsidRDefault="008B3AB3">
      <w:pPr>
        <w:ind w:left="21" w:right="45"/>
      </w:pPr>
      <w:r>
        <w:t>Existed literatures mainly focus on the rating agencies' rating distortions and institutional investors' inconsistent judgments. The first category of li</w:t>
      </w:r>
      <w:r>
        <w:t>terature belongs to the theoretical research. These literatures suggest that rating agencies play an important role in the capital markets. Rating agencies can investigate the issuers’ financial conditions and consequently obtain private information (Abad-</w:t>
      </w:r>
      <w:r>
        <w:t>Romero and Robles-Fernez, 2006). Sanvincente and Griffin (1982) also echo that this makes the rating agencies have some information advantage which is reflected on their rating results. Investors will use these results to form their judgment towards compan</w:t>
      </w:r>
      <w:r>
        <w:t xml:space="preserve">ies’ operating conditions and default risk, so that the rating can influence the enterprises’ financing costs. Grossman and Stiglitz (1980) point out that the efficient market hardly exists, and the credit rating agencies can significantly reduce the cost </w:t>
      </w:r>
      <w:r>
        <w:t>of information and increase the market liquidity and efficiency. In addition, many exchanges have a minimum requirement on ratings of listed bonds. Many institutional investors only invest in "investment-grade" bonds (Brandon, 2004). On the one hand, the t</w:t>
      </w:r>
      <w:r>
        <w:t>heory of reputation suggests that in the context of repeated games, in order to obtain long-term excess returns, companies tend to avoid short-term fraud behaviors (Klein and Leffler, 1981). Building up and maintaining a good reputation is vital to any rat</w:t>
      </w:r>
      <w:r>
        <w:t xml:space="preserve">ing agency, and any opportunistic behaviors like misrepresenting will lead to the loss in credibility and potential gains. On the other hand, the prevailing payment mode has created conflicts of interest for rating agencies (Mathis et al. 2009; Skreta and </w:t>
      </w:r>
      <w:r>
        <w:t>Veldkamp, 2009; Bolton et al., 2012; Opp et al., 2013; Sangiorgi and Spatt, 2013). The agency's main revenue comes from the issuers while the investors who use the ratings results don't have to pay for it. As a consequence, issuers and underwriters will ta</w:t>
      </w:r>
      <w:r>
        <w:t>ke a rating-shopping pattern and the rating agencies are motivated to distort real ratings results to please issuers and underwriters. Ultimately, the incentive for rating agencies to tell the truth depends on which effect is dominant and this need to be t</w:t>
      </w:r>
      <w:r>
        <w:t>ested empirically. Specifically, there already exists several papers explain why the reputation mechanism can't adequately restrict rating agencies to tell the truth through the dynamic reputation model, such as Mathis et al. (2009). Skreta and Veldkamp (2</w:t>
      </w:r>
      <w:r>
        <w:t>009) analyze the causes of rating-shopping pattern from the perspective of investors’ rationality and financial assets’ complexity. Boltonet al. (2012) explains that the competition in rating industry will reduce market efficiency. They pointed out that wh</w:t>
      </w:r>
      <w:r>
        <w:t xml:space="preserve">ile the investors are credulous towards rating results, rating agencies tend to underestimate risk for </w:t>
      </w:r>
      <w:r>
        <w:lastRenderedPageBreak/>
        <w:t xml:space="preserve">business because issuers and underwriters prefer most satisfactory rating results. For the same reason, regulations which rely on credit ratings results </w:t>
      </w:r>
      <w:r>
        <w:t xml:space="preserve">also give the rating agencies incentive to distort accurate ratings (Oppetal. 2013; Ozerturk, 2014). </w:t>
      </w:r>
    </w:p>
    <w:p w14:paraId="68163058" w14:textId="77777777" w:rsidR="009C7506" w:rsidRDefault="008B3AB3">
      <w:pPr>
        <w:spacing w:after="29" w:line="259" w:lineRule="auto"/>
        <w:ind w:left="0" w:right="0" w:firstLine="0"/>
        <w:jc w:val="left"/>
      </w:pPr>
      <w:r>
        <w:t xml:space="preserve"> </w:t>
      </w:r>
    </w:p>
    <w:p w14:paraId="364993F5" w14:textId="77777777" w:rsidR="009C7506" w:rsidRDefault="008B3AB3">
      <w:pPr>
        <w:spacing w:after="253" w:line="259" w:lineRule="auto"/>
        <w:ind w:left="0" w:right="0" w:firstLine="0"/>
        <w:jc w:val="left"/>
      </w:pPr>
      <w:r>
        <w:rPr>
          <w:sz w:val="20"/>
        </w:rPr>
        <w:t xml:space="preserve"> </w:t>
      </w:r>
    </w:p>
    <w:p w14:paraId="3FBDFEBD" w14:textId="77777777" w:rsidR="009C7506" w:rsidRDefault="008B3AB3">
      <w:pPr>
        <w:pStyle w:val="Heading1"/>
        <w:ind w:left="370"/>
      </w:pPr>
      <w:r>
        <w:t xml:space="preserve">3. Development of Hypotheses </w:t>
      </w:r>
    </w:p>
    <w:p w14:paraId="76E25F3D" w14:textId="77777777" w:rsidR="009C7506" w:rsidRDefault="008B3AB3">
      <w:pPr>
        <w:spacing w:after="50" w:line="259" w:lineRule="auto"/>
        <w:ind w:left="0" w:right="0" w:firstLine="0"/>
        <w:jc w:val="left"/>
      </w:pPr>
      <w:r>
        <w:rPr>
          <w:sz w:val="21"/>
        </w:rPr>
        <w:t xml:space="preserve"> </w:t>
      </w:r>
    </w:p>
    <w:p w14:paraId="656CAB68" w14:textId="77777777" w:rsidR="009C7506" w:rsidRDefault="008B3AB3">
      <w:pPr>
        <w:ind w:left="21" w:right="45"/>
      </w:pPr>
      <w:r>
        <w:t xml:space="preserve">The above literatures </w:t>
      </w:r>
      <w:r>
        <w:t>show that investors and credit rating agencies generally judge and evaluate the changes of government intervention in the bond market from their own perspectives. Before the defaults happened, the “implicit guarantee” were leading factors affecting the rat</w:t>
      </w:r>
      <w:r>
        <w:t>ing result as well as the credit spread. After the default event, the rating agencies faced high rating error costs and the “implicit guarantee” are less significant. Meanwhile, in the absence of the complete withdrawal of government intervention, the inve</w:t>
      </w:r>
      <w:r>
        <w:t xml:space="preserve">stors form the "rigid payment” expectation that the “implicit guarantee” factors still work. </w:t>
      </w:r>
    </w:p>
    <w:p w14:paraId="14F8A58D" w14:textId="77777777" w:rsidR="009C7506" w:rsidRDefault="008B3AB3">
      <w:pPr>
        <w:spacing w:after="36" w:line="259" w:lineRule="auto"/>
        <w:ind w:left="0" w:right="0" w:firstLine="0"/>
        <w:jc w:val="left"/>
      </w:pPr>
      <w:r>
        <w:rPr>
          <w:b/>
        </w:rPr>
        <w:t xml:space="preserve"> </w:t>
      </w:r>
    </w:p>
    <w:p w14:paraId="21F3D3DD" w14:textId="77777777" w:rsidR="009C7506" w:rsidRDefault="008B3AB3">
      <w:pPr>
        <w:spacing w:after="33" w:line="259" w:lineRule="auto"/>
        <w:ind w:left="-5" w:right="41"/>
      </w:pPr>
      <w:r>
        <w:rPr>
          <w:b/>
        </w:rPr>
        <w:t xml:space="preserve">Our paper made some improvement and innovation towards pervious literatures. </w:t>
      </w:r>
    </w:p>
    <w:p w14:paraId="22137D42" w14:textId="77777777" w:rsidR="009C7506" w:rsidRDefault="008B3AB3">
      <w:pPr>
        <w:spacing w:after="36" w:line="259" w:lineRule="auto"/>
        <w:ind w:left="0" w:right="0" w:firstLine="0"/>
        <w:jc w:val="left"/>
      </w:pPr>
      <w:r>
        <w:t xml:space="preserve"> </w:t>
      </w:r>
    </w:p>
    <w:p w14:paraId="60B91AC0" w14:textId="77777777" w:rsidR="009C7506" w:rsidRDefault="008B3AB3">
      <w:pPr>
        <w:ind w:left="21" w:right="45"/>
      </w:pPr>
      <w:r>
        <w:t>Firstly, our paper is based on Chinese bond market, using the default event to d</w:t>
      </w:r>
      <w:r>
        <w:t xml:space="preserve">epict the transformation of the government intervention. We did more comprehensive studies on the behavior changing mechanism of the major participants through the properties of the issuers and the leading underwriters. Existed studies mainly focus on the </w:t>
      </w:r>
      <w:r>
        <w:t xml:space="preserve">"implicit guarantee" of municipal bonds which analyze the local government's ability to provide "implicit guarantee"(local economic and fiscal condition) and willingness (government policy, asset-liability ratio). While to corporate bonds, only properties </w:t>
      </w:r>
      <w:r>
        <w:t>of issuers represent the degree of "implicit guarantee" from the government and the wider "implicit guarantee" factors should include the strength of the leading underwriters and the factors involved in "rigid" payment of the bond redemption process. We se</w:t>
      </w:r>
      <w:r>
        <w:t xml:space="preserve">lect these indicators for the proxies of "implicit guarantee" which are more accurate than the factors from municipal bonds. </w:t>
      </w:r>
    </w:p>
    <w:p w14:paraId="3844266B" w14:textId="77777777" w:rsidR="009C7506" w:rsidRDefault="008B3AB3">
      <w:pPr>
        <w:spacing w:after="36" w:line="259" w:lineRule="auto"/>
        <w:ind w:left="0" w:right="0" w:firstLine="0"/>
        <w:jc w:val="left"/>
      </w:pPr>
      <w:r>
        <w:t xml:space="preserve"> </w:t>
      </w:r>
    </w:p>
    <w:p w14:paraId="2982BB94" w14:textId="77777777" w:rsidR="009C7506" w:rsidRDefault="008B3AB3">
      <w:pPr>
        <w:ind w:left="21" w:right="45"/>
      </w:pPr>
      <w:r>
        <w:t>Secondly, there are few references consider the difference and complexity of the bond market's participants in the process of ma</w:t>
      </w:r>
      <w:r>
        <w:t>rketization. This paper study the heterogeneous behaviors of the rating agencies and the investors during two periods. We compare the behavior changes of the credit agencies and the investors due to the weakening of the government intervention in two perio</w:t>
      </w:r>
      <w:r>
        <w:t xml:space="preserve">ds.  </w:t>
      </w:r>
    </w:p>
    <w:p w14:paraId="1762D50A" w14:textId="77777777" w:rsidR="009C7506" w:rsidRDefault="008B3AB3">
      <w:pPr>
        <w:spacing w:after="36" w:line="259" w:lineRule="auto"/>
        <w:ind w:left="0" w:right="0" w:firstLine="0"/>
        <w:jc w:val="left"/>
      </w:pPr>
      <w:r>
        <w:t xml:space="preserve"> </w:t>
      </w:r>
    </w:p>
    <w:p w14:paraId="4593A3EB" w14:textId="77777777" w:rsidR="009C7506" w:rsidRDefault="008B3AB3">
      <w:pPr>
        <w:ind w:left="21" w:right="45"/>
      </w:pPr>
      <w:r>
        <w:t xml:space="preserve">Based on the above analysis, this paper makes the following hypotheses: </w:t>
      </w:r>
    </w:p>
    <w:p w14:paraId="4C044C8E" w14:textId="77777777" w:rsidR="009C7506" w:rsidRDefault="008B3AB3">
      <w:pPr>
        <w:spacing w:after="0" w:line="259" w:lineRule="auto"/>
        <w:ind w:left="0" w:right="0" w:firstLine="0"/>
        <w:jc w:val="left"/>
      </w:pPr>
      <w:r>
        <w:t xml:space="preserve"> </w:t>
      </w:r>
    </w:p>
    <w:p w14:paraId="5BF9C9C9" w14:textId="77777777" w:rsidR="009C7506" w:rsidRDefault="008B3AB3">
      <w:pPr>
        <w:ind w:left="21" w:right="45"/>
      </w:pPr>
      <w:r>
        <w:t xml:space="preserve">Before the default in 2014, the government had a strong market intervention </w:t>
      </w:r>
      <w:r>
        <w:t>force which guided the market participants to form strong expectations on the government's implicit guarantee. Rating agencies and investors consistently give premiums of the "implicit guarantee" factors. We predict that the ownership of issuers will signi</w:t>
      </w:r>
      <w:r>
        <w:t xml:space="preserve">ficantly affect the ratings and the spreads. The state-owned properties are regarded as "implicit guarantee" factors reducing the spreads and increasing the ratings. </w:t>
      </w:r>
    </w:p>
    <w:p w14:paraId="18BF1AEF" w14:textId="77777777" w:rsidR="009C7506" w:rsidRDefault="008B3AB3">
      <w:pPr>
        <w:spacing w:after="41" w:line="259" w:lineRule="auto"/>
        <w:ind w:left="0" w:right="0" w:firstLine="0"/>
        <w:jc w:val="left"/>
      </w:pPr>
      <w:r>
        <w:lastRenderedPageBreak/>
        <w:t xml:space="preserve"> </w:t>
      </w:r>
    </w:p>
    <w:p w14:paraId="7679006A" w14:textId="77777777" w:rsidR="009C7506" w:rsidRDefault="008B3AB3">
      <w:pPr>
        <w:spacing w:after="0" w:line="293" w:lineRule="auto"/>
        <w:ind w:left="0" w:right="0" w:firstLine="0"/>
        <w:jc w:val="left"/>
      </w:pPr>
      <w:r>
        <w:rPr>
          <w:b/>
        </w:rPr>
        <w:t>Therefore, we have hypothesis 1: before the outbreak of default in 2014, the market inv</w:t>
      </w:r>
      <w:r>
        <w:rPr>
          <w:b/>
        </w:rPr>
        <w:t xml:space="preserve">estors and rating agencies gave state-owned enterprises lower spreads and higher ratings. </w:t>
      </w:r>
    </w:p>
    <w:p w14:paraId="1B11C830" w14:textId="77777777" w:rsidR="009C7506" w:rsidRDefault="008B3AB3">
      <w:pPr>
        <w:spacing w:after="36" w:line="259" w:lineRule="auto"/>
        <w:ind w:left="0" w:right="0" w:firstLine="0"/>
        <w:jc w:val="left"/>
      </w:pPr>
      <w:r>
        <w:t xml:space="preserve"> </w:t>
      </w:r>
    </w:p>
    <w:p w14:paraId="14399FA6" w14:textId="77777777" w:rsidR="009C7506" w:rsidRDefault="008B3AB3">
      <w:pPr>
        <w:ind w:left="21" w:right="45"/>
      </w:pPr>
      <w:r>
        <w:t>The leading underwriters’ properties had not been captured by investors before 2014. At this stage the investors were overconfident about the issuers, they did not</w:t>
      </w:r>
      <w:r>
        <w:t xml:space="preserve"> worry about any default risks. Therefore the impact of the leading underwriters was dominated by the properties of the issuers and no longer reflected in spreads. To ratings agencies, they also expected the government would make strong interventions on th</w:t>
      </w:r>
      <w:r>
        <w:t>e bond market so that their rating errors would not generate any  cost. Without the rating error cost as punishment, their utility was just the product of accepted probability of rating business and fixed income by each rating. Due to the "issuer pays" mod</w:t>
      </w:r>
      <w:r>
        <w:t xml:space="preserve">e, issuers and the leading underwriters have the incentives to persuade ratings agencies to give a higher rating for a more smooth bond issuance. And the ratings agencies also optimized to take these persuasion because such behavior can bring benefits and </w:t>
      </w:r>
      <w:r>
        <w:t xml:space="preserve">no punishment. </w:t>
      </w:r>
    </w:p>
    <w:p w14:paraId="01AE5E5A" w14:textId="77777777" w:rsidR="009C7506" w:rsidRDefault="008B3AB3">
      <w:pPr>
        <w:spacing w:after="41" w:line="259" w:lineRule="auto"/>
        <w:ind w:left="0" w:right="0" w:firstLine="0"/>
        <w:jc w:val="left"/>
      </w:pPr>
      <w:r>
        <w:t xml:space="preserve"> </w:t>
      </w:r>
    </w:p>
    <w:p w14:paraId="19665B45" w14:textId="77777777" w:rsidR="009C7506" w:rsidRDefault="008B3AB3">
      <w:pPr>
        <w:spacing w:after="33" w:line="259" w:lineRule="auto"/>
        <w:ind w:left="-5" w:right="41"/>
      </w:pPr>
      <w:r>
        <w:rPr>
          <w:b/>
        </w:rPr>
        <w:t>Therefore, we have our hypothesis 2: before the outbreak of default in 2014, the leading underwriters’ reputation and strength did not significantly affect the credit spread. While, the underwriters with good reputation and strong strengt</w:t>
      </w:r>
      <w:r>
        <w:rPr>
          <w:b/>
        </w:rPr>
        <w:t xml:space="preserve">h will significantly improve the credit rating result. </w:t>
      </w:r>
    </w:p>
    <w:p w14:paraId="06C81EDE" w14:textId="77777777" w:rsidR="009C7506" w:rsidRDefault="008B3AB3">
      <w:pPr>
        <w:spacing w:after="36" w:line="259" w:lineRule="auto"/>
        <w:ind w:left="0" w:right="0" w:firstLine="0"/>
        <w:jc w:val="left"/>
      </w:pPr>
      <w:r>
        <w:t xml:space="preserve"> </w:t>
      </w:r>
    </w:p>
    <w:p w14:paraId="4654E8FD" w14:textId="77777777" w:rsidR="009C7506" w:rsidRDefault="008B3AB3">
      <w:pPr>
        <w:ind w:left="21" w:right="45"/>
      </w:pPr>
      <w:r>
        <w:t>After the default in 2014, the expectations of government intervention have been weakened considerably. Instead of focusing on whether the bonds will default or not, investors search any potential p</w:t>
      </w:r>
      <w:r>
        <w:t>articipants who will be involved in the redemption procedures. They realize that the leading underwriters have good reputation and strengths,  and mostly are large state-owned enterprises. These groups care about their reputation and have the ability to gu</w:t>
      </w:r>
      <w:r>
        <w:t xml:space="preserve">arantee fully payment. In reality, the leading underwriters actively participate in the payment activity of the bond market.  </w:t>
      </w:r>
    </w:p>
    <w:p w14:paraId="427B108B" w14:textId="77777777" w:rsidR="009C7506" w:rsidRDefault="008B3AB3">
      <w:pPr>
        <w:spacing w:after="41" w:line="259" w:lineRule="auto"/>
        <w:ind w:left="0" w:right="0" w:firstLine="0"/>
        <w:jc w:val="left"/>
      </w:pPr>
      <w:r>
        <w:t xml:space="preserve"> </w:t>
      </w:r>
    </w:p>
    <w:p w14:paraId="06368E26" w14:textId="77777777" w:rsidR="009C7506" w:rsidRDefault="008B3AB3">
      <w:pPr>
        <w:spacing w:after="33" w:line="259" w:lineRule="auto"/>
        <w:ind w:left="-5" w:right="41"/>
      </w:pPr>
      <w:r>
        <w:rPr>
          <w:b/>
        </w:rPr>
        <w:t>Therefore, we have our hypothesis 3: after the outbreak of default in 2014, the investors and rating agencies have heterogeneou</w:t>
      </w:r>
      <w:r>
        <w:rPr>
          <w:b/>
        </w:rPr>
        <w:t xml:space="preserve">s reaction. The investors consider the state-owned property and the background of the leading underwriters as the indicators reflecting the probability of "rigid payment". They consider the former as direct political association and the latter as indirect </w:t>
      </w:r>
      <w:r>
        <w:rPr>
          <w:b/>
        </w:rPr>
        <w:t xml:space="preserve">political connections and potential power for “rigid payment”. </w:t>
      </w:r>
    </w:p>
    <w:p w14:paraId="75F7FFA0" w14:textId="77777777" w:rsidR="009C7506" w:rsidRDefault="008B3AB3">
      <w:pPr>
        <w:spacing w:after="33" w:line="259" w:lineRule="auto"/>
        <w:ind w:left="-5" w:right="41"/>
      </w:pPr>
      <w:r>
        <w:rPr>
          <w:b/>
        </w:rPr>
        <w:t xml:space="preserve">The latter is always dominated by the former one. </w:t>
      </w:r>
    </w:p>
    <w:p w14:paraId="46168354" w14:textId="77777777" w:rsidR="009C7506" w:rsidRDefault="008B3AB3">
      <w:pPr>
        <w:spacing w:after="36" w:line="259" w:lineRule="auto"/>
        <w:ind w:left="0" w:right="0" w:firstLine="0"/>
        <w:jc w:val="left"/>
      </w:pPr>
      <w:r>
        <w:t xml:space="preserve"> </w:t>
      </w:r>
    </w:p>
    <w:p w14:paraId="68B8FE10" w14:textId="77777777" w:rsidR="009C7506" w:rsidRDefault="008B3AB3">
      <w:pPr>
        <w:ind w:left="21" w:right="45"/>
      </w:pPr>
      <w:r>
        <w:t xml:space="preserve">After 2014, the ratings agencies' reaction is heterogeneous comparing with the investors. </w:t>
      </w:r>
    </w:p>
    <w:p w14:paraId="1BF78FC5" w14:textId="77777777" w:rsidR="009C7506" w:rsidRDefault="008B3AB3">
      <w:pPr>
        <w:ind w:left="21" w:right="45"/>
      </w:pPr>
      <w:r>
        <w:t>They still  focus on the probability of a bond d</w:t>
      </w:r>
      <w:r>
        <w:t>efault. When a bond default occurs, it shows that the rating agency has a major failure. After the bond defaults, the rating error cost is enormous. The accuracy of the rating is the core competitiveness for the survival of the rating agencies. Rating erro</w:t>
      </w:r>
      <w:r>
        <w:t xml:space="preserve">rs will reduce the reputation and loss business. </w:t>
      </w:r>
    </w:p>
    <w:p w14:paraId="035337E3" w14:textId="77777777" w:rsidR="009C7506" w:rsidRDefault="008B3AB3">
      <w:pPr>
        <w:spacing w:after="36" w:line="259" w:lineRule="auto"/>
        <w:ind w:left="0" w:right="0" w:firstLine="0"/>
        <w:jc w:val="left"/>
      </w:pPr>
      <w:r>
        <w:rPr>
          <w:b/>
        </w:rPr>
        <w:t xml:space="preserve"> </w:t>
      </w:r>
    </w:p>
    <w:p w14:paraId="2A939F3C" w14:textId="77777777" w:rsidR="009C7506" w:rsidRDefault="008B3AB3">
      <w:pPr>
        <w:spacing w:after="33" w:line="259" w:lineRule="auto"/>
        <w:ind w:left="-5" w:right="41"/>
      </w:pPr>
      <w:r>
        <w:rPr>
          <w:b/>
        </w:rPr>
        <w:t xml:space="preserve">Therefore, we have our hypothesis 4: after the outbreak of default in 2014, the rating agencies still focus on the factors affecting the default probability. </w:t>
      </w:r>
      <w:r>
        <w:rPr>
          <w:b/>
        </w:rPr>
        <w:t xml:space="preserve">Considering the enormous rating error cost, they would be more cautious and fair in later rating and was </w:t>
      </w:r>
      <w:r>
        <w:rPr>
          <w:b/>
        </w:rPr>
        <w:lastRenderedPageBreak/>
        <w:t>not so sensitive to the persuasion and reputation of the leading underwriters. Therefore, we expect that the impacts of the leading underwriters’ prope</w:t>
      </w:r>
      <w:r>
        <w:rPr>
          <w:b/>
        </w:rPr>
        <w:t xml:space="preserve">rty on ratings will be greatly weakened. </w:t>
      </w:r>
      <w:r>
        <w:rPr>
          <w:b/>
          <w:sz w:val="21"/>
        </w:rPr>
        <w:t xml:space="preserve"> </w:t>
      </w:r>
    </w:p>
    <w:p w14:paraId="7C509B3C" w14:textId="77777777" w:rsidR="009C7506" w:rsidRDefault="008B3AB3">
      <w:pPr>
        <w:spacing w:after="233" w:line="259" w:lineRule="auto"/>
        <w:ind w:left="0" w:right="0" w:firstLine="0"/>
        <w:jc w:val="left"/>
      </w:pPr>
      <w:r>
        <w:rPr>
          <w:sz w:val="21"/>
        </w:rPr>
        <w:t xml:space="preserve"> </w:t>
      </w:r>
    </w:p>
    <w:p w14:paraId="3B6046DB" w14:textId="77777777" w:rsidR="009C7506" w:rsidRDefault="008B3AB3">
      <w:pPr>
        <w:pStyle w:val="Heading1"/>
        <w:ind w:left="370" w:right="419"/>
      </w:pPr>
      <w:r>
        <w:t xml:space="preserve">4. Research methods and data description </w:t>
      </w:r>
    </w:p>
    <w:p w14:paraId="778B1559" w14:textId="77777777" w:rsidR="009C7506" w:rsidRDefault="008B3AB3">
      <w:pPr>
        <w:pStyle w:val="Heading2"/>
        <w:ind w:left="-5" w:right="41"/>
      </w:pPr>
      <w:r>
        <w:t xml:space="preserve">4.1 The source of the sample data </w:t>
      </w:r>
    </w:p>
    <w:p w14:paraId="2DBEF6B6" w14:textId="77777777" w:rsidR="009C7506" w:rsidRDefault="008B3AB3">
      <w:pPr>
        <w:spacing w:after="31" w:line="259" w:lineRule="auto"/>
        <w:ind w:left="0" w:right="0" w:firstLine="0"/>
        <w:jc w:val="left"/>
      </w:pPr>
      <w:r>
        <w:rPr>
          <w:b/>
        </w:rPr>
        <w:t xml:space="preserve"> </w:t>
      </w:r>
    </w:p>
    <w:p w14:paraId="120B75DE" w14:textId="77777777" w:rsidR="009C7506" w:rsidRDefault="008B3AB3">
      <w:pPr>
        <w:ind w:left="21" w:right="45"/>
      </w:pPr>
      <w:r>
        <w:t>This paper selects the corporate bonds issued by listed companies from 2008 to 2015 as samples, excluding financial bonds, asset-bac</w:t>
      </w:r>
      <w:r>
        <w:t>ked securities, convertible bonds, collection bonds and notes. The number of the original samples is 1745. We further delete some observations which the coupon rate and financial information are missing. In addition, the "implicit guarantee" factors includ</w:t>
      </w:r>
      <w:r>
        <w:t xml:space="preserve">e the ability to obtain assistance from local governments and the related enterprises. So we require the economic and financial indicators in the administrative region. Therefore, we delete bonds issued by the central state-owned enterprises. Moreover, we </w:t>
      </w:r>
      <w:r>
        <w:t>delete bonds issued by Tibet and other special regions to avoid the effect of abnormal values. Overall, this paper adopts 470 samples which are eligible for the requirement. We also collect 287 fiscal years’ data about the economical conditions of the regi</w:t>
      </w:r>
      <w:r>
        <w:t xml:space="preserve">onal administrations. </w:t>
      </w:r>
    </w:p>
    <w:p w14:paraId="5CB57FA4" w14:textId="77777777" w:rsidR="009C7506" w:rsidRDefault="008B3AB3">
      <w:pPr>
        <w:spacing w:after="36" w:line="259" w:lineRule="auto"/>
        <w:ind w:left="0" w:right="0" w:firstLine="0"/>
        <w:jc w:val="left"/>
      </w:pPr>
      <w:r>
        <w:t xml:space="preserve"> </w:t>
      </w:r>
    </w:p>
    <w:p w14:paraId="39EEA70C" w14:textId="77777777" w:rsidR="009C7506" w:rsidRDefault="008B3AB3">
      <w:pPr>
        <w:ind w:left="21" w:right="45"/>
      </w:pPr>
      <w:r>
        <w:t>The information of the corporate bonds and the financial information of the issuers used in the regressions come from RESSET database and public annual reports about the listed companies. The treasury yields’ data comes from the of</w:t>
      </w:r>
      <w:r>
        <w:t xml:space="preserve">ficial website of China Securities Depository &amp; Clearing Corporation Limited (CSDCC). The economic indicators and financial data of each regional administrative area come from </w:t>
      </w:r>
      <w:r>
        <w:rPr>
          <w:i/>
        </w:rPr>
        <w:t xml:space="preserve">China urban statistical yearbook </w:t>
      </w:r>
      <w:r>
        <w:t xml:space="preserve">from the 2008-2015. </w:t>
      </w:r>
    </w:p>
    <w:p w14:paraId="138B437D" w14:textId="77777777" w:rsidR="009C7506" w:rsidRDefault="008B3AB3">
      <w:pPr>
        <w:spacing w:after="41" w:line="259" w:lineRule="auto"/>
        <w:ind w:left="0" w:right="0" w:firstLine="0"/>
        <w:jc w:val="left"/>
      </w:pPr>
      <w:r>
        <w:t xml:space="preserve"> </w:t>
      </w:r>
    </w:p>
    <w:p w14:paraId="60A8DADD" w14:textId="77777777" w:rsidR="009C7506" w:rsidRDefault="008B3AB3">
      <w:pPr>
        <w:pStyle w:val="Heading2"/>
        <w:ind w:left="-5" w:right="41"/>
      </w:pPr>
      <w:r>
        <w:t xml:space="preserve">4.2 </w:t>
      </w:r>
      <w:r>
        <w:t xml:space="preserve">Research methods </w:t>
      </w:r>
    </w:p>
    <w:p w14:paraId="48E142ED" w14:textId="77777777" w:rsidR="009C7506" w:rsidRDefault="008B3AB3">
      <w:pPr>
        <w:spacing w:after="36" w:line="259" w:lineRule="auto"/>
        <w:ind w:left="0" w:right="0" w:firstLine="0"/>
        <w:jc w:val="left"/>
      </w:pPr>
      <w:r>
        <w:t xml:space="preserve"> </w:t>
      </w:r>
    </w:p>
    <w:p w14:paraId="04D1547E" w14:textId="77777777" w:rsidR="009C7506" w:rsidRDefault="008B3AB3">
      <w:pPr>
        <w:ind w:left="21" w:right="45"/>
      </w:pPr>
      <w:r>
        <w:t>In this paper, we use the credit ratings and credit spreads of the corporate bonds as proxy variables to measure the heterogeneous behaviors of the rating agencies and bond investors. We verify the impact of "implicit guarantee" factors</w:t>
      </w:r>
      <w:r>
        <w:t xml:space="preserve"> on credit rating and credit spreads in different market stages. And we also judge the change of the expectations of "rigid payment" after the weakening of the government intervention. </w:t>
      </w:r>
    </w:p>
    <w:p w14:paraId="6DA329CE" w14:textId="77777777" w:rsidR="009C7506" w:rsidRDefault="008B3AB3">
      <w:pPr>
        <w:spacing w:after="40" w:line="259" w:lineRule="auto"/>
        <w:ind w:left="0" w:right="0" w:firstLine="0"/>
        <w:jc w:val="left"/>
      </w:pPr>
      <w:r>
        <w:t xml:space="preserve"> </w:t>
      </w:r>
    </w:p>
    <w:p w14:paraId="2787C158" w14:textId="77777777" w:rsidR="009C7506" w:rsidRDefault="008B3AB3">
      <w:pPr>
        <w:spacing w:after="33" w:line="259" w:lineRule="auto"/>
        <w:ind w:left="-5" w:right="41"/>
      </w:pPr>
      <w:r>
        <w:rPr>
          <w:b/>
        </w:rPr>
        <w:t xml:space="preserve">The multiple regression model is built as follows: </w:t>
      </w:r>
    </w:p>
    <w:p w14:paraId="1E110A0A" w14:textId="77777777" w:rsidR="009C7506" w:rsidRDefault="008B3AB3">
      <w:pPr>
        <w:spacing w:after="0" w:line="545" w:lineRule="auto"/>
        <w:ind w:left="484" w:right="0" w:hanging="484"/>
        <w:jc w:val="left"/>
      </w:pPr>
      <w:r>
        <w:t xml:space="preserve">   </w:t>
      </w:r>
      <w:r>
        <w:rPr>
          <w:i/>
          <w:sz w:val="24"/>
        </w:rPr>
        <w:t>creditrating</w:t>
      </w:r>
      <w:r>
        <w:rPr>
          <w:b/>
          <w:sz w:val="14"/>
        </w:rPr>
        <w:t xml:space="preserve">i </w:t>
      </w:r>
      <w:r>
        <w:rPr>
          <w:b/>
          <w:sz w:val="24"/>
        </w:rPr>
        <w:t>=</w:t>
      </w:r>
      <w:r>
        <w:rPr>
          <w:rFonts w:ascii="Segoe UI Symbol" w:eastAsia="Segoe UI Symbol" w:hAnsi="Segoe UI Symbol" w:cs="Segoe UI Symbol"/>
          <w:sz w:val="25"/>
        </w:rPr>
        <w:t xml:space="preserve"> </w:t>
      </w:r>
      <w:r>
        <w:rPr>
          <w:rFonts w:ascii="Segoe UI Symbol" w:eastAsia="Segoe UI Symbol" w:hAnsi="Segoe UI Symbol" w:cs="Segoe UI Symbol"/>
          <w:sz w:val="25"/>
        </w:rPr>
        <w:t></w:t>
      </w:r>
      <w:r>
        <w:rPr>
          <w:sz w:val="14"/>
        </w:rPr>
        <w:t>1</w:t>
      </w:r>
      <w:r>
        <w:rPr>
          <w:i/>
          <w:sz w:val="24"/>
        </w:rPr>
        <w:t>soe</w:t>
      </w:r>
      <w:r>
        <w:rPr>
          <w:b/>
          <w:sz w:val="24"/>
        </w:rPr>
        <w:t xml:space="preserve">+ </w:t>
      </w:r>
      <w:r>
        <w:rPr>
          <w:sz w:val="14"/>
        </w:rPr>
        <w:t>2</w:t>
      </w:r>
      <w:r>
        <w:rPr>
          <w:i/>
          <w:sz w:val="24"/>
        </w:rPr>
        <w:t>undrr</w:t>
      </w:r>
      <w:r>
        <w:rPr>
          <w:rFonts w:ascii="Segoe UI Symbol" w:eastAsia="Segoe UI Symbol" w:hAnsi="Segoe UI Symbol" w:cs="Segoe UI Symbol"/>
          <w:sz w:val="24"/>
        </w:rPr>
        <w:t></w:t>
      </w:r>
      <w:r>
        <w:rPr>
          <w:rFonts w:ascii="Segoe UI Symbol" w:eastAsia="Segoe UI Symbol" w:hAnsi="Segoe UI Symbol" w:cs="Segoe UI Symbol"/>
          <w:sz w:val="25"/>
        </w:rPr>
        <w:t></w:t>
      </w:r>
      <w:r>
        <w:rPr>
          <w:sz w:val="14"/>
        </w:rPr>
        <w:t>3</w:t>
      </w:r>
      <w:r>
        <w:rPr>
          <w:i/>
          <w:sz w:val="24"/>
        </w:rPr>
        <w:t>OTHERguarantee</w:t>
      </w:r>
      <w:r>
        <w:rPr>
          <w:b/>
          <w:sz w:val="14"/>
        </w:rPr>
        <w:t xml:space="preserve">i </w:t>
      </w:r>
      <w:r>
        <w:rPr>
          <w:b/>
          <w:sz w:val="24"/>
        </w:rPr>
        <w:t>+</w:t>
      </w:r>
      <w:r>
        <w:rPr>
          <w:rFonts w:ascii="Segoe UI Symbol" w:eastAsia="Segoe UI Symbol" w:hAnsi="Segoe UI Symbol" w:cs="Segoe UI Symbol"/>
          <w:sz w:val="25"/>
        </w:rPr>
        <w:t></w:t>
      </w:r>
      <w:r>
        <w:rPr>
          <w:sz w:val="14"/>
        </w:rPr>
        <w:t>4</w:t>
      </w:r>
      <w:r>
        <w:rPr>
          <w:i/>
          <w:sz w:val="24"/>
        </w:rPr>
        <w:t>FIN</w:t>
      </w:r>
      <w:r>
        <w:rPr>
          <w:b/>
          <w:sz w:val="14"/>
        </w:rPr>
        <w:t xml:space="preserve">i </w:t>
      </w:r>
      <w:r>
        <w:rPr>
          <w:rFonts w:ascii="Segoe UI Symbol" w:eastAsia="Segoe UI Symbol" w:hAnsi="Segoe UI Symbol" w:cs="Segoe UI Symbol"/>
          <w:sz w:val="24"/>
        </w:rPr>
        <w:t></w:t>
      </w:r>
      <w:r>
        <w:rPr>
          <w:rFonts w:ascii="Segoe UI Symbol" w:eastAsia="Segoe UI Symbol" w:hAnsi="Segoe UI Symbol" w:cs="Segoe UI Symbol"/>
          <w:sz w:val="25"/>
        </w:rPr>
        <w:t></w:t>
      </w:r>
      <w:r>
        <w:rPr>
          <w:b/>
        </w:rPr>
        <w:t xml:space="preserve"> </w:t>
      </w:r>
      <w:r>
        <w:rPr>
          <w:rFonts w:ascii="SimSun" w:eastAsia="SimSun" w:hAnsi="SimSun" w:cs="SimSun"/>
        </w:rPr>
        <w:t>（</w:t>
      </w:r>
      <w:r>
        <w:rPr>
          <w:b/>
        </w:rPr>
        <w:t>1</w:t>
      </w:r>
      <w:r>
        <w:rPr>
          <w:rFonts w:ascii="SimSun" w:eastAsia="SimSun" w:hAnsi="SimSun" w:cs="SimSun"/>
        </w:rPr>
        <w:t>）</w:t>
      </w:r>
      <w:r>
        <w:rPr>
          <w:b/>
        </w:rPr>
        <w:t xml:space="preserve"> </w:t>
      </w:r>
      <w:r>
        <w:rPr>
          <w:i/>
          <w:sz w:val="24"/>
        </w:rPr>
        <w:t>creditspread</w:t>
      </w:r>
      <w:r>
        <w:rPr>
          <w:b/>
          <w:sz w:val="21"/>
          <w:vertAlign w:val="subscript"/>
        </w:rPr>
        <w:t xml:space="preserve">i </w:t>
      </w:r>
      <w:r>
        <w:rPr>
          <w:b/>
          <w:sz w:val="24"/>
        </w:rPr>
        <w:t>=</w:t>
      </w:r>
      <w:r>
        <w:rPr>
          <w:rFonts w:ascii="Segoe UI Symbol" w:eastAsia="Segoe UI Symbol" w:hAnsi="Segoe UI Symbol" w:cs="Segoe UI Symbol"/>
          <w:sz w:val="25"/>
        </w:rPr>
        <w:t xml:space="preserve"> </w:t>
      </w:r>
      <w:r>
        <w:rPr>
          <w:rFonts w:ascii="Segoe UI Symbol" w:eastAsia="Segoe UI Symbol" w:hAnsi="Segoe UI Symbol" w:cs="Segoe UI Symbol"/>
          <w:sz w:val="25"/>
        </w:rPr>
        <w:t></w:t>
      </w:r>
      <w:r>
        <w:rPr>
          <w:sz w:val="21"/>
          <w:vertAlign w:val="subscript"/>
        </w:rPr>
        <w:t>1</w:t>
      </w:r>
      <w:r>
        <w:rPr>
          <w:i/>
          <w:sz w:val="24"/>
        </w:rPr>
        <w:t>soe</w:t>
      </w:r>
      <w:r>
        <w:rPr>
          <w:b/>
          <w:sz w:val="24"/>
        </w:rPr>
        <w:t xml:space="preserve">+ </w:t>
      </w:r>
      <w:r>
        <w:rPr>
          <w:sz w:val="21"/>
          <w:vertAlign w:val="subscript"/>
        </w:rPr>
        <w:t>2</w:t>
      </w:r>
      <w:r>
        <w:rPr>
          <w:i/>
          <w:sz w:val="24"/>
        </w:rPr>
        <w:t>undrr</w:t>
      </w:r>
      <w:r>
        <w:rPr>
          <w:rFonts w:ascii="Segoe UI Symbol" w:eastAsia="Segoe UI Symbol" w:hAnsi="Segoe UI Symbol" w:cs="Segoe UI Symbol"/>
          <w:sz w:val="24"/>
        </w:rPr>
        <w:t></w:t>
      </w:r>
      <w:r>
        <w:rPr>
          <w:rFonts w:ascii="Segoe UI Symbol" w:eastAsia="Segoe UI Symbol" w:hAnsi="Segoe UI Symbol" w:cs="Segoe UI Symbol"/>
          <w:sz w:val="25"/>
        </w:rPr>
        <w:t></w:t>
      </w:r>
      <w:r>
        <w:rPr>
          <w:sz w:val="21"/>
          <w:vertAlign w:val="subscript"/>
        </w:rPr>
        <w:t>3</w:t>
      </w:r>
      <w:r>
        <w:rPr>
          <w:i/>
          <w:sz w:val="24"/>
        </w:rPr>
        <w:t>OTHERguarantee</w:t>
      </w:r>
      <w:r>
        <w:rPr>
          <w:b/>
          <w:sz w:val="21"/>
          <w:vertAlign w:val="subscript"/>
        </w:rPr>
        <w:t xml:space="preserve">i </w:t>
      </w:r>
      <w:r>
        <w:rPr>
          <w:b/>
          <w:sz w:val="24"/>
        </w:rPr>
        <w:t>+</w:t>
      </w:r>
      <w:r>
        <w:rPr>
          <w:rFonts w:ascii="Segoe UI Symbol" w:eastAsia="Segoe UI Symbol" w:hAnsi="Segoe UI Symbol" w:cs="Segoe UI Symbol"/>
          <w:sz w:val="25"/>
        </w:rPr>
        <w:t></w:t>
      </w:r>
      <w:r>
        <w:rPr>
          <w:sz w:val="21"/>
          <w:vertAlign w:val="subscript"/>
        </w:rPr>
        <w:t>4</w:t>
      </w:r>
      <w:r>
        <w:rPr>
          <w:i/>
          <w:sz w:val="24"/>
        </w:rPr>
        <w:t>FIN</w:t>
      </w:r>
      <w:r>
        <w:rPr>
          <w:b/>
          <w:sz w:val="21"/>
          <w:vertAlign w:val="subscript"/>
        </w:rPr>
        <w:t xml:space="preserve">i </w:t>
      </w:r>
      <w:r>
        <w:rPr>
          <w:rFonts w:ascii="Segoe UI Symbol" w:eastAsia="Segoe UI Symbol" w:hAnsi="Segoe UI Symbol" w:cs="Segoe UI Symbol"/>
          <w:sz w:val="24"/>
        </w:rPr>
        <w:t></w:t>
      </w:r>
      <w:r>
        <w:rPr>
          <w:rFonts w:ascii="Segoe UI Symbol" w:eastAsia="Segoe UI Symbol" w:hAnsi="Segoe UI Symbol" w:cs="Segoe UI Symbol"/>
          <w:sz w:val="25"/>
        </w:rPr>
        <w:t></w:t>
      </w:r>
      <w:r>
        <w:rPr>
          <w:b/>
        </w:rPr>
        <w:t xml:space="preserve"> </w:t>
      </w:r>
      <w:r>
        <w:rPr>
          <w:rFonts w:ascii="SimSun" w:eastAsia="SimSun" w:hAnsi="SimSun" w:cs="SimSun"/>
        </w:rPr>
        <w:t>（</w:t>
      </w:r>
      <w:r>
        <w:rPr>
          <w:b/>
        </w:rPr>
        <w:t>2</w:t>
      </w:r>
      <w:r>
        <w:rPr>
          <w:rFonts w:ascii="SimSun" w:eastAsia="SimSun" w:hAnsi="SimSun" w:cs="SimSun"/>
        </w:rPr>
        <w:t>）</w:t>
      </w:r>
      <w:r>
        <w:rPr>
          <w:b/>
        </w:rPr>
        <w:t xml:space="preserve"> </w:t>
      </w:r>
    </w:p>
    <w:p w14:paraId="0EBAD689" w14:textId="77777777" w:rsidR="009C7506" w:rsidRDefault="008B3AB3">
      <w:pPr>
        <w:ind w:left="21" w:right="45"/>
      </w:pPr>
      <w:r>
        <w:t xml:space="preserve">where, </w:t>
      </w:r>
      <w:r>
        <w:rPr>
          <w:i/>
          <w:sz w:val="21"/>
        </w:rPr>
        <w:t>creditrating</w:t>
      </w:r>
      <w:r>
        <w:rPr>
          <w:b/>
          <w:sz w:val="19"/>
          <w:vertAlign w:val="subscript"/>
        </w:rPr>
        <w:t>i</w:t>
      </w:r>
      <w:r>
        <w:t xml:space="preserve"> and</w:t>
      </w:r>
      <w:r>
        <w:rPr>
          <w:i/>
          <w:sz w:val="21"/>
        </w:rPr>
        <w:t>creditspread</w:t>
      </w:r>
      <w:r>
        <w:rPr>
          <w:b/>
          <w:sz w:val="19"/>
          <w:vertAlign w:val="subscript"/>
        </w:rPr>
        <w:t xml:space="preserve">i </w:t>
      </w:r>
      <w:r>
        <w:t xml:space="preserve">represent the credit rating and credit spreads of bond </w:t>
      </w:r>
    </w:p>
    <w:p w14:paraId="30C50263" w14:textId="77777777" w:rsidR="009C7506" w:rsidRDefault="008B3AB3">
      <w:pPr>
        <w:spacing w:after="118" w:line="259" w:lineRule="auto"/>
        <w:ind w:left="595" w:right="0" w:firstLine="0"/>
        <w:jc w:val="left"/>
      </w:pPr>
      <w:r>
        <w:t xml:space="preserve"> </w:t>
      </w:r>
      <w:r>
        <w:tab/>
        <w:t xml:space="preserve"> </w:t>
      </w:r>
    </w:p>
    <w:p w14:paraId="10F967C9" w14:textId="77777777" w:rsidR="009C7506" w:rsidRDefault="008B3AB3">
      <w:pPr>
        <w:ind w:left="21" w:right="45"/>
      </w:pPr>
      <w:r>
        <w:t xml:space="preserve">“i” respectively. The credit spread is the difference between the treasury yield of the equivalent maturity and the yield of the bond, which represents the risk premium of the bond. </w:t>
      </w:r>
      <w:r>
        <w:rPr>
          <w:i/>
          <w:sz w:val="19"/>
        </w:rPr>
        <w:t>soe</w:t>
      </w:r>
      <w:r>
        <w:t xml:space="preserve"> represents</w:t>
      </w:r>
      <w:r>
        <w:t xml:space="preserve"> the property of ownership of issuer “i” that 1 represents the local state-owned enterprises, and </w:t>
      </w:r>
      <w:r>
        <w:lastRenderedPageBreak/>
        <w:t xml:space="preserve">0 is for the enterprises of other ownership property, such as private enterprises. </w:t>
      </w:r>
      <w:r>
        <w:rPr>
          <w:i/>
          <w:sz w:val="19"/>
        </w:rPr>
        <w:t>soe</w:t>
      </w:r>
      <w:r>
        <w:rPr>
          <w:sz w:val="34"/>
          <w:vertAlign w:val="subscript"/>
        </w:rPr>
        <w:t xml:space="preserve"> </w:t>
      </w:r>
      <w:r>
        <w:t xml:space="preserve">is used to measure "implicit guarantee" from government. </w:t>
      </w:r>
      <w:r>
        <w:rPr>
          <w:i/>
          <w:sz w:val="20"/>
        </w:rPr>
        <w:t>undrr</w:t>
      </w:r>
      <w:r>
        <w:t xml:space="preserve"> represen</w:t>
      </w:r>
      <w:r>
        <w:t xml:space="preserve">ts the reputation and the strength of the bond's leading underwriters. If the underwriters are the one of the six companies with the largest asset from 2007 to 2015 or are the famous international investment banks, then we assume </w:t>
      </w:r>
      <w:r>
        <w:rPr>
          <w:i/>
          <w:sz w:val="31"/>
          <w:vertAlign w:val="superscript"/>
        </w:rPr>
        <w:t xml:space="preserve">undrr </w:t>
      </w:r>
      <w:r>
        <w:t>equates 1, otherwise</w:t>
      </w:r>
      <w:r>
        <w:t xml:space="preserve"> 0. </w:t>
      </w:r>
    </w:p>
    <w:p w14:paraId="4B0F3900" w14:textId="77777777" w:rsidR="009C7506" w:rsidRDefault="008B3AB3">
      <w:pPr>
        <w:spacing w:after="201" w:line="216" w:lineRule="auto"/>
        <w:ind w:left="1313" w:right="45" w:hanging="1302"/>
      </w:pPr>
      <w:r>
        <w:rPr>
          <w:i/>
          <w:sz w:val="19"/>
        </w:rPr>
        <w:t xml:space="preserve">OTHERguarantee </w:t>
      </w:r>
      <w:r>
        <w:rPr>
          <w:b/>
          <w:sz w:val="17"/>
          <w:vertAlign w:val="superscript"/>
        </w:rPr>
        <w:t>i</w:t>
      </w:r>
      <w:r>
        <w:t xml:space="preserve"> represents other "implicit guarantee" factors, such as local GDP and local </w:t>
      </w:r>
    </w:p>
    <w:p w14:paraId="220A8A92" w14:textId="77777777" w:rsidR="009C7506" w:rsidRDefault="008B3AB3">
      <w:pPr>
        <w:spacing w:line="411" w:lineRule="auto"/>
        <w:ind w:left="21" w:right="45"/>
      </w:pPr>
      <w:r>
        <w:t xml:space="preserve">loan-to-deposit ratio, etc. They reflect the possibility that issuer </w:t>
      </w:r>
      <w:r>
        <w:t xml:space="preserve">can be rescued by the local governments and the local related enterprises. </w:t>
      </w:r>
      <w:r>
        <w:rPr>
          <w:i/>
          <w:sz w:val="30"/>
          <w:vertAlign w:val="superscript"/>
        </w:rPr>
        <w:t>FIN</w:t>
      </w:r>
      <w:r>
        <w:rPr>
          <w:i/>
          <w:sz w:val="17"/>
          <w:vertAlign w:val="superscript"/>
        </w:rPr>
        <w:t xml:space="preserve">i </w:t>
      </w:r>
      <w:r>
        <w:t xml:space="preserve">is a column vector of the issuers’ financial factors reflecting the solvency of the bond itself. </w:t>
      </w:r>
    </w:p>
    <w:p w14:paraId="0972C727" w14:textId="77777777" w:rsidR="009C7506" w:rsidRDefault="008B3AB3">
      <w:pPr>
        <w:spacing w:after="36" w:line="259" w:lineRule="auto"/>
        <w:ind w:left="0" w:right="0" w:firstLine="0"/>
        <w:jc w:val="left"/>
      </w:pPr>
      <w:r>
        <w:t xml:space="preserve"> </w:t>
      </w:r>
    </w:p>
    <w:p w14:paraId="134EDAEB" w14:textId="77777777" w:rsidR="009C7506" w:rsidRDefault="008B3AB3">
      <w:pPr>
        <w:ind w:left="21" w:right="45"/>
      </w:pPr>
      <w:r>
        <w:t>The main "implicit guarantee" factors in this paper are measured by the prop</w:t>
      </w:r>
      <w:r>
        <w:t>erties of the issuers and the reputation of the underwriters. Compared with other companies, state-owned issuers send investors good prospects and strong expectations of "rigid payment" from local government. Meanwhile, strong leading underwriters are also</w:t>
      </w:r>
      <w:r>
        <w:t xml:space="preserve"> more actively involved in the issuance of bonds, and may even persuade the agencies to give inflated credit ratings. Furthermore, the leading underwriters with good reputation and strong strength may be the main force to rescue the default companies and c</w:t>
      </w:r>
      <w:r>
        <w:t xml:space="preserve">omplete the "rigid payment". These two factors make the rating agencies and investors have the heterogeneous reactions to the "implicit guarantee" factors of the leading underwriters, which will be studied later. </w:t>
      </w:r>
    </w:p>
    <w:p w14:paraId="5331223E" w14:textId="77777777" w:rsidR="009C7506" w:rsidRDefault="008B3AB3">
      <w:pPr>
        <w:spacing w:after="36" w:line="259" w:lineRule="auto"/>
        <w:ind w:left="0" w:right="0" w:firstLine="0"/>
        <w:jc w:val="left"/>
      </w:pPr>
      <w:r>
        <w:t xml:space="preserve"> </w:t>
      </w:r>
    </w:p>
    <w:p w14:paraId="1EFB7932" w14:textId="77777777" w:rsidR="009C7506" w:rsidRDefault="008B3AB3">
      <w:pPr>
        <w:ind w:left="21" w:right="45"/>
      </w:pPr>
      <w:r>
        <w:t>The default in 2014 is an remarkable eve</w:t>
      </w:r>
      <w:r>
        <w:t xml:space="preserve">nt in the development of China's bond market. The research in this paper divides the data into two stages: 2008-2013, 2014-2015. </w:t>
      </w:r>
    </w:p>
    <w:p w14:paraId="30653062" w14:textId="77777777" w:rsidR="009C7506" w:rsidRDefault="008B3AB3">
      <w:pPr>
        <w:spacing w:after="36" w:line="259" w:lineRule="auto"/>
        <w:ind w:left="0" w:right="0" w:firstLine="0"/>
        <w:jc w:val="left"/>
      </w:pPr>
      <w:r>
        <w:t xml:space="preserve"> </w:t>
      </w:r>
    </w:p>
    <w:p w14:paraId="34FDE270" w14:textId="77777777" w:rsidR="009C7506" w:rsidRDefault="008B3AB3">
      <w:pPr>
        <w:ind w:left="21" w:right="45"/>
      </w:pPr>
      <w:r>
        <w:t xml:space="preserve">Other factors which </w:t>
      </w:r>
      <w:r>
        <w:t>can affect local governments' willingness and capacity to provide "implicit guarantees" are chosen by local GDP and local loan-to-deposit ratios. According to Altman (1990) and Guha (2002), the higher the GDP and GDP growth rate, the lower the default risk</w:t>
      </w:r>
      <w:r>
        <w:t xml:space="preserve"> and the narrower the credit spreads; the higher the ratio of loan-to-deposit, the greater the investment and the greater the financial efficiency.  </w:t>
      </w:r>
    </w:p>
    <w:p w14:paraId="0AE4BD6E" w14:textId="77777777" w:rsidR="009C7506" w:rsidRDefault="008B3AB3">
      <w:pPr>
        <w:spacing w:after="36" w:line="259" w:lineRule="auto"/>
        <w:ind w:left="0" w:right="0" w:firstLine="0"/>
        <w:jc w:val="left"/>
      </w:pPr>
      <w:r>
        <w:t xml:space="preserve"> </w:t>
      </w:r>
    </w:p>
    <w:p w14:paraId="0443D72B" w14:textId="77777777" w:rsidR="009C7506" w:rsidRDefault="008B3AB3">
      <w:pPr>
        <w:ind w:left="21" w:right="45"/>
      </w:pPr>
      <w:r>
        <w:t>In the chosen financial indicators, the liquidity ratio and the cash ratio reflect the ability of the en</w:t>
      </w:r>
      <w:r>
        <w:t>terprise to liquidate, which are the so-called short-term solvency. The larger the ratio, the narrower the credit spreads. Asset-liability ratio reflects the company's long-term solvency. The lower the ratio, the smaller the company's leverage and the it r</w:t>
      </w:r>
      <w:r>
        <w:t>educes credit spreads for corporate bonds. The interest coverage ratio measures the company's ability to pay interest. Return on equity, total return on assets, and sales cash ratio reflect the profitability of the company. The larger the ratios, the narro</w:t>
      </w:r>
      <w:r>
        <w:t xml:space="preserve">wer the credit spreads, the higher the ratings. The greater the turnover of total assets, the stronger the corresponding profitability and the narrower the credit spreads. Net profit growth rate and net asset growth rate reflect the growth capacity of the </w:t>
      </w:r>
      <w:r>
        <w:t xml:space="preserve">company, indicating that the company's prospects are better, the narrower the credit spreads and the higher the credit rating. </w:t>
      </w:r>
    </w:p>
    <w:p w14:paraId="39A2348F" w14:textId="77777777" w:rsidR="009C7506" w:rsidRDefault="008B3AB3">
      <w:pPr>
        <w:spacing w:after="246" w:line="259" w:lineRule="auto"/>
        <w:ind w:left="0" w:right="0" w:firstLine="0"/>
        <w:jc w:val="left"/>
      </w:pPr>
      <w:r>
        <w:t xml:space="preserve"> </w:t>
      </w:r>
    </w:p>
    <w:p w14:paraId="1EC724AC" w14:textId="77777777" w:rsidR="009C7506" w:rsidRDefault="008B3AB3">
      <w:pPr>
        <w:spacing w:line="370" w:lineRule="auto"/>
        <w:ind w:left="21" w:right="45"/>
      </w:pPr>
      <w:r>
        <w:lastRenderedPageBreak/>
        <w:t xml:space="preserve">If the regression analysis finds that the coefficients of </w:t>
      </w:r>
      <w:r>
        <w:rPr>
          <w:i/>
          <w:sz w:val="30"/>
          <w:vertAlign w:val="superscript"/>
        </w:rPr>
        <w:t>soe</w:t>
      </w:r>
      <w:r>
        <w:t>,</w:t>
      </w:r>
      <w:r>
        <w:rPr>
          <w:i/>
          <w:sz w:val="31"/>
          <w:vertAlign w:val="superscript"/>
        </w:rPr>
        <w:t>undrr</w:t>
      </w:r>
      <w:r>
        <w:t xml:space="preserve"> and </w:t>
      </w:r>
      <w:r>
        <w:rPr>
          <w:i/>
          <w:sz w:val="27"/>
          <w:vertAlign w:val="superscript"/>
        </w:rPr>
        <w:t>OTHERguarantee</w:t>
      </w:r>
      <w:r>
        <w:rPr>
          <w:b/>
          <w:sz w:val="16"/>
          <w:vertAlign w:val="superscript"/>
        </w:rPr>
        <w:t>i</w:t>
      </w:r>
      <w:r>
        <w:t xml:space="preserve"> are significantly different from zero,</w:t>
      </w:r>
      <w:r>
        <w:t xml:space="preserve"> which means the credit agencies and the investors consider the impacts of the non-marketable "implicit guarantee" factors when they judge the risk of the default. Similarly, if the coefficients of </w:t>
      </w:r>
      <w:r>
        <w:rPr>
          <w:i/>
          <w:sz w:val="30"/>
          <w:vertAlign w:val="superscript"/>
        </w:rPr>
        <w:t>FIN</w:t>
      </w:r>
      <w:r>
        <w:rPr>
          <w:i/>
          <w:sz w:val="17"/>
          <w:vertAlign w:val="superscript"/>
        </w:rPr>
        <w:t>i</w:t>
      </w:r>
      <w:r>
        <w:t xml:space="preserve"> are significantly different from zero that means the </w:t>
      </w:r>
      <w:r>
        <w:t xml:space="preserve">difference in the solvency of the companies has also been reflected in the credit spreads and the ratings. </w:t>
      </w:r>
    </w:p>
    <w:p w14:paraId="58D6A257" w14:textId="77777777" w:rsidR="009C7506" w:rsidRDefault="008B3AB3">
      <w:pPr>
        <w:spacing w:after="41" w:line="259" w:lineRule="auto"/>
        <w:ind w:left="0" w:right="0" w:firstLine="0"/>
        <w:jc w:val="left"/>
      </w:pPr>
      <w:r>
        <w:t xml:space="preserve"> </w:t>
      </w:r>
    </w:p>
    <w:p w14:paraId="3D1EC4DD" w14:textId="77777777" w:rsidR="009C7506" w:rsidRDefault="008B3AB3">
      <w:pPr>
        <w:pStyle w:val="Heading2"/>
        <w:ind w:left="-5" w:right="41"/>
      </w:pPr>
      <w:r>
        <w:t xml:space="preserve">4.3 Data processing </w:t>
      </w:r>
    </w:p>
    <w:p w14:paraId="60732348" w14:textId="77777777" w:rsidR="009C7506" w:rsidRDefault="008B3AB3">
      <w:pPr>
        <w:spacing w:after="36" w:line="259" w:lineRule="auto"/>
        <w:ind w:left="0" w:right="0" w:firstLine="0"/>
        <w:jc w:val="left"/>
      </w:pPr>
      <w:r>
        <w:t xml:space="preserve"> </w:t>
      </w:r>
    </w:p>
    <w:p w14:paraId="3C1D688F" w14:textId="77777777" w:rsidR="009C7506" w:rsidRDefault="008B3AB3">
      <w:pPr>
        <w:ind w:left="21" w:right="45"/>
      </w:pPr>
      <w:r>
        <w:t>The credit spreads of the companies in this paper are the difference between the treasury yield and the bond yield to matur</w:t>
      </w:r>
      <w:r>
        <w:t xml:space="preserve">ity. Due to the term of corporate bond does not exactly match the term of the Treasury bonds, we match the corporate bond and Treasury bond by the linear interpolation method. The "implicit guarantee" data in the government level comes from the </w:t>
      </w:r>
      <w:r>
        <w:rPr>
          <w:i/>
        </w:rPr>
        <w:t xml:space="preserve">CHINA CITY </w:t>
      </w:r>
      <w:r>
        <w:rPr>
          <w:i/>
        </w:rPr>
        <w:t>STATISTICAL YEARBOOK</w:t>
      </w:r>
      <w:r>
        <w:t>. Among them, the GDP and GDP growth rate are disclosed in the yearbooks and the unit of GDP is one trillion RMB and the each unit of ratio is %. The loan-to-deposit ratio is calculated based on the year-end balance of RMB loans to year</w:t>
      </w:r>
      <w:r>
        <w:t xml:space="preserve">-end balance of RMB deposits. For the company's financial indicators, in order to eliminate the multicollinearity, we adopt the principal component analysis (PCA) to simplify the problem. </w:t>
      </w:r>
    </w:p>
    <w:p w14:paraId="4F4102E6" w14:textId="77777777" w:rsidR="009C7506" w:rsidRDefault="008B3AB3">
      <w:pPr>
        <w:spacing w:after="31" w:line="259" w:lineRule="auto"/>
        <w:ind w:left="0" w:right="0" w:firstLine="0"/>
        <w:jc w:val="left"/>
      </w:pPr>
      <w:r>
        <w:rPr>
          <w:b/>
        </w:rPr>
        <w:t xml:space="preserve"> </w:t>
      </w:r>
    </w:p>
    <w:p w14:paraId="0C19204D" w14:textId="77777777" w:rsidR="009C7506" w:rsidRDefault="008B3AB3">
      <w:pPr>
        <w:ind w:left="21" w:right="45"/>
      </w:pPr>
      <w:r>
        <w:t>Key variables and their symbols expectations to credit spreads an</w:t>
      </w:r>
      <w:r>
        <w:t xml:space="preserve">d credit ratings are shown in Table 1-3. </w:t>
      </w:r>
    </w:p>
    <w:p w14:paraId="3AF8EF48" w14:textId="77777777" w:rsidR="009C7506" w:rsidRDefault="008B3AB3">
      <w:pPr>
        <w:spacing w:after="36" w:line="259" w:lineRule="auto"/>
        <w:ind w:left="0" w:right="4" w:firstLine="0"/>
        <w:jc w:val="center"/>
      </w:pPr>
      <w:r>
        <w:rPr>
          <w:b/>
        </w:rPr>
        <w:t xml:space="preserve"> </w:t>
      </w:r>
    </w:p>
    <w:p w14:paraId="7B0077AB" w14:textId="77777777" w:rsidR="009C7506" w:rsidRDefault="008B3AB3">
      <w:pPr>
        <w:pStyle w:val="Heading2"/>
        <w:spacing w:after="36"/>
        <w:ind w:right="61"/>
        <w:jc w:val="center"/>
      </w:pPr>
      <w:r>
        <w:t xml:space="preserve">Table 1 Key variables and their symbol expectations </w:t>
      </w:r>
    </w:p>
    <w:p w14:paraId="5BFBC525" w14:textId="77777777" w:rsidR="009C7506" w:rsidRDefault="008B3AB3">
      <w:pPr>
        <w:spacing w:after="0" w:line="259" w:lineRule="auto"/>
        <w:ind w:left="0" w:right="4" w:firstLine="0"/>
        <w:jc w:val="center"/>
      </w:pPr>
      <w:r>
        <w:rPr>
          <w:b/>
        </w:rPr>
        <w:t xml:space="preserve"> </w:t>
      </w:r>
    </w:p>
    <w:tbl>
      <w:tblPr>
        <w:tblStyle w:val="TableGrid"/>
        <w:tblW w:w="8524" w:type="dxa"/>
        <w:tblInd w:w="-108" w:type="dxa"/>
        <w:tblCellMar>
          <w:top w:w="0" w:type="dxa"/>
          <w:left w:w="0" w:type="dxa"/>
          <w:bottom w:w="0" w:type="dxa"/>
          <w:right w:w="53" w:type="dxa"/>
        </w:tblCellMar>
        <w:tblLook w:val="04A0" w:firstRow="1" w:lastRow="0" w:firstColumn="1" w:lastColumn="0" w:noHBand="0" w:noVBand="1"/>
      </w:tblPr>
      <w:tblGrid>
        <w:gridCol w:w="1805"/>
        <w:gridCol w:w="457"/>
        <w:gridCol w:w="1190"/>
        <w:gridCol w:w="1853"/>
        <w:gridCol w:w="1618"/>
        <w:gridCol w:w="1601"/>
      </w:tblGrid>
      <w:tr w:rsidR="009C7506" w14:paraId="5825F889" w14:textId="77777777">
        <w:trPr>
          <w:trHeight w:val="1423"/>
        </w:trPr>
        <w:tc>
          <w:tcPr>
            <w:tcW w:w="2261" w:type="dxa"/>
            <w:gridSpan w:val="2"/>
            <w:tcBorders>
              <w:top w:val="single" w:sz="12" w:space="0" w:color="000000"/>
              <w:left w:val="nil"/>
              <w:bottom w:val="single" w:sz="4" w:space="0" w:color="000000"/>
              <w:right w:val="nil"/>
            </w:tcBorders>
            <w:vAlign w:val="center"/>
          </w:tcPr>
          <w:p w14:paraId="64C6F72D" w14:textId="77777777" w:rsidR="009C7506" w:rsidRDefault="008B3AB3">
            <w:pPr>
              <w:spacing w:after="0" w:line="259" w:lineRule="auto"/>
              <w:ind w:left="0" w:right="70" w:firstLine="0"/>
              <w:jc w:val="right"/>
            </w:pPr>
            <w:r>
              <w:t xml:space="preserve">Variables </w:t>
            </w:r>
          </w:p>
        </w:tc>
        <w:tc>
          <w:tcPr>
            <w:tcW w:w="1190" w:type="dxa"/>
            <w:tcBorders>
              <w:top w:val="single" w:sz="12" w:space="0" w:color="000000"/>
              <w:left w:val="nil"/>
              <w:bottom w:val="single" w:sz="4" w:space="0" w:color="000000"/>
              <w:right w:val="single" w:sz="4" w:space="0" w:color="000000"/>
            </w:tcBorders>
          </w:tcPr>
          <w:p w14:paraId="40057847" w14:textId="77777777" w:rsidR="009C7506" w:rsidRDefault="009C7506">
            <w:pPr>
              <w:spacing w:after="160" w:line="259" w:lineRule="auto"/>
              <w:ind w:left="0" w:right="0" w:firstLine="0"/>
              <w:jc w:val="left"/>
            </w:pPr>
          </w:p>
        </w:tc>
        <w:tc>
          <w:tcPr>
            <w:tcW w:w="1853" w:type="dxa"/>
            <w:tcBorders>
              <w:top w:val="single" w:sz="12" w:space="0" w:color="000000"/>
              <w:left w:val="single" w:sz="4" w:space="0" w:color="000000"/>
              <w:bottom w:val="single" w:sz="4" w:space="0" w:color="000000"/>
              <w:right w:val="single" w:sz="4" w:space="0" w:color="000000"/>
            </w:tcBorders>
            <w:vAlign w:val="center"/>
          </w:tcPr>
          <w:p w14:paraId="2CE40A18" w14:textId="77777777" w:rsidR="009C7506" w:rsidRDefault="008B3AB3">
            <w:pPr>
              <w:spacing w:after="0" w:line="259" w:lineRule="auto"/>
              <w:ind w:left="54" w:right="0" w:firstLine="0"/>
              <w:jc w:val="center"/>
            </w:pPr>
            <w:r>
              <w:t xml:space="preserve">Definition </w:t>
            </w:r>
          </w:p>
        </w:tc>
        <w:tc>
          <w:tcPr>
            <w:tcW w:w="1618" w:type="dxa"/>
            <w:tcBorders>
              <w:top w:val="single" w:sz="12" w:space="0" w:color="000000"/>
              <w:left w:val="single" w:sz="4" w:space="0" w:color="000000"/>
              <w:bottom w:val="single" w:sz="4" w:space="0" w:color="000000"/>
              <w:right w:val="single" w:sz="4" w:space="0" w:color="000000"/>
            </w:tcBorders>
            <w:vAlign w:val="center"/>
          </w:tcPr>
          <w:p w14:paraId="43640D71" w14:textId="77777777" w:rsidR="009C7506" w:rsidRDefault="008B3AB3">
            <w:pPr>
              <w:spacing w:after="0" w:line="259" w:lineRule="auto"/>
              <w:ind w:left="51" w:right="0" w:firstLine="3"/>
              <w:jc w:val="center"/>
            </w:pPr>
            <w:r>
              <w:t xml:space="preserve">Symbols expected to credit spreads </w:t>
            </w:r>
          </w:p>
        </w:tc>
        <w:tc>
          <w:tcPr>
            <w:tcW w:w="1601" w:type="dxa"/>
            <w:tcBorders>
              <w:top w:val="single" w:sz="12" w:space="0" w:color="000000"/>
              <w:left w:val="single" w:sz="4" w:space="0" w:color="000000"/>
              <w:bottom w:val="single" w:sz="4" w:space="0" w:color="000000"/>
              <w:right w:val="nil"/>
            </w:tcBorders>
            <w:vAlign w:val="center"/>
          </w:tcPr>
          <w:p w14:paraId="70646FE8" w14:textId="77777777" w:rsidR="009C7506" w:rsidRDefault="008B3AB3">
            <w:pPr>
              <w:spacing w:after="0" w:line="259" w:lineRule="auto"/>
              <w:ind w:left="44" w:right="0" w:firstLine="7"/>
              <w:jc w:val="center"/>
            </w:pPr>
            <w:r>
              <w:t xml:space="preserve">Symbols expected to credit ratings </w:t>
            </w:r>
          </w:p>
        </w:tc>
      </w:tr>
      <w:tr w:rsidR="009C7506" w14:paraId="4E2EE5A5" w14:textId="77777777">
        <w:trPr>
          <w:trHeight w:val="948"/>
        </w:trPr>
        <w:tc>
          <w:tcPr>
            <w:tcW w:w="1805" w:type="dxa"/>
            <w:vMerge w:val="restart"/>
            <w:tcBorders>
              <w:top w:val="single" w:sz="4" w:space="0" w:color="000000"/>
              <w:left w:val="nil"/>
              <w:bottom w:val="single" w:sz="4" w:space="0" w:color="000000"/>
              <w:right w:val="single" w:sz="4" w:space="0" w:color="000000"/>
            </w:tcBorders>
            <w:vAlign w:val="center"/>
          </w:tcPr>
          <w:p w14:paraId="43BC9748" w14:textId="77777777" w:rsidR="009C7506" w:rsidRDefault="008B3AB3">
            <w:pPr>
              <w:tabs>
                <w:tab w:val="right" w:pos="1752"/>
              </w:tabs>
              <w:spacing w:after="0" w:line="259" w:lineRule="auto"/>
              <w:ind w:left="0" w:right="0" w:firstLine="0"/>
              <w:jc w:val="left"/>
            </w:pPr>
            <w:r>
              <w:rPr>
                <w:i/>
                <w:sz w:val="21"/>
              </w:rPr>
              <w:t>Implicit guarantee</w:t>
            </w:r>
            <w:r>
              <w:rPr>
                <w:sz w:val="21"/>
              </w:rPr>
              <w:t xml:space="preserve"> </w:t>
            </w:r>
            <w:r>
              <w:rPr>
                <w:sz w:val="21"/>
              </w:rPr>
              <w:tab/>
            </w:r>
            <w:r>
              <w:t xml:space="preserve"> </w:t>
            </w:r>
          </w:p>
        </w:tc>
        <w:tc>
          <w:tcPr>
            <w:tcW w:w="457" w:type="dxa"/>
            <w:tcBorders>
              <w:top w:val="single" w:sz="4" w:space="0" w:color="000000"/>
              <w:left w:val="single" w:sz="4" w:space="0" w:color="000000"/>
              <w:bottom w:val="single" w:sz="4" w:space="0" w:color="000000"/>
              <w:right w:val="nil"/>
            </w:tcBorders>
          </w:tcPr>
          <w:p w14:paraId="35047422" w14:textId="77777777" w:rsidR="009C7506" w:rsidRDefault="009C7506">
            <w:pPr>
              <w:spacing w:after="160" w:line="259" w:lineRule="auto"/>
              <w:ind w:left="0" w:right="0" w:firstLine="0"/>
              <w:jc w:val="left"/>
            </w:pPr>
          </w:p>
        </w:tc>
        <w:tc>
          <w:tcPr>
            <w:tcW w:w="1190" w:type="dxa"/>
            <w:tcBorders>
              <w:top w:val="single" w:sz="4" w:space="0" w:color="000000"/>
              <w:left w:val="nil"/>
              <w:bottom w:val="single" w:sz="4" w:space="0" w:color="000000"/>
              <w:right w:val="single" w:sz="4" w:space="0" w:color="000000"/>
            </w:tcBorders>
            <w:vAlign w:val="center"/>
          </w:tcPr>
          <w:p w14:paraId="06E80111" w14:textId="77777777" w:rsidR="009C7506" w:rsidRDefault="008B3AB3">
            <w:pPr>
              <w:spacing w:after="0" w:line="259" w:lineRule="auto"/>
              <w:ind w:left="166" w:right="0" w:firstLine="0"/>
              <w:jc w:val="left"/>
            </w:pPr>
            <w:r>
              <w:rPr>
                <w:i/>
              </w:rPr>
              <w:t xml:space="preserve">SOE </w:t>
            </w:r>
          </w:p>
        </w:tc>
        <w:tc>
          <w:tcPr>
            <w:tcW w:w="1853" w:type="dxa"/>
            <w:tcBorders>
              <w:top w:val="single" w:sz="4" w:space="0" w:color="000000"/>
              <w:left w:val="single" w:sz="4" w:space="0" w:color="000000"/>
              <w:bottom w:val="single" w:sz="4" w:space="0" w:color="000000"/>
              <w:right w:val="single" w:sz="4" w:space="0" w:color="000000"/>
            </w:tcBorders>
            <w:vAlign w:val="center"/>
          </w:tcPr>
          <w:p w14:paraId="0D7D8BF2" w14:textId="77777777" w:rsidR="009C7506" w:rsidRDefault="008B3AB3">
            <w:pPr>
              <w:spacing w:after="0" w:line="259" w:lineRule="auto"/>
              <w:ind w:left="100" w:right="0" w:firstLine="0"/>
              <w:jc w:val="center"/>
            </w:pPr>
            <w:r>
              <w:t xml:space="preserve">The property </w:t>
            </w:r>
            <w:r>
              <w:t xml:space="preserve">of the issuer </w:t>
            </w:r>
          </w:p>
        </w:tc>
        <w:tc>
          <w:tcPr>
            <w:tcW w:w="1618" w:type="dxa"/>
            <w:tcBorders>
              <w:top w:val="single" w:sz="4" w:space="0" w:color="000000"/>
              <w:left w:val="single" w:sz="4" w:space="0" w:color="000000"/>
              <w:bottom w:val="single" w:sz="4" w:space="0" w:color="000000"/>
              <w:right w:val="single" w:sz="4" w:space="0" w:color="000000"/>
            </w:tcBorders>
            <w:vAlign w:val="center"/>
          </w:tcPr>
          <w:p w14:paraId="246E812E" w14:textId="77777777" w:rsidR="009C7506" w:rsidRDefault="008B3AB3">
            <w:pPr>
              <w:spacing w:after="0" w:line="259" w:lineRule="auto"/>
              <w:ind w:left="51" w:right="0" w:firstLine="0"/>
              <w:jc w:val="center"/>
            </w:pPr>
            <w:r>
              <w:t xml:space="preserve">- </w:t>
            </w:r>
          </w:p>
        </w:tc>
        <w:tc>
          <w:tcPr>
            <w:tcW w:w="1601" w:type="dxa"/>
            <w:tcBorders>
              <w:top w:val="single" w:sz="4" w:space="0" w:color="000000"/>
              <w:left w:val="single" w:sz="4" w:space="0" w:color="000000"/>
              <w:bottom w:val="single" w:sz="4" w:space="0" w:color="000000"/>
              <w:right w:val="nil"/>
            </w:tcBorders>
            <w:vAlign w:val="center"/>
          </w:tcPr>
          <w:p w14:paraId="3E5E9961" w14:textId="77777777" w:rsidR="009C7506" w:rsidRDefault="008B3AB3">
            <w:pPr>
              <w:spacing w:after="0" w:line="259" w:lineRule="auto"/>
              <w:ind w:left="53" w:right="0" w:firstLine="0"/>
              <w:jc w:val="center"/>
            </w:pPr>
            <w:r>
              <w:t xml:space="preserve">+ </w:t>
            </w:r>
          </w:p>
        </w:tc>
      </w:tr>
      <w:tr w:rsidR="009C7506" w14:paraId="65E95F54" w14:textId="77777777">
        <w:trPr>
          <w:trHeight w:val="478"/>
        </w:trPr>
        <w:tc>
          <w:tcPr>
            <w:tcW w:w="0" w:type="auto"/>
            <w:vMerge/>
            <w:tcBorders>
              <w:top w:val="nil"/>
              <w:left w:val="nil"/>
              <w:bottom w:val="single" w:sz="4" w:space="0" w:color="000000"/>
              <w:right w:val="single" w:sz="4" w:space="0" w:color="000000"/>
            </w:tcBorders>
          </w:tcPr>
          <w:p w14:paraId="782CC8C0" w14:textId="77777777" w:rsidR="009C7506" w:rsidRDefault="009C7506">
            <w:pPr>
              <w:spacing w:after="160" w:line="259" w:lineRule="auto"/>
              <w:ind w:left="0" w:right="0" w:firstLine="0"/>
              <w:jc w:val="left"/>
            </w:pPr>
          </w:p>
        </w:tc>
        <w:tc>
          <w:tcPr>
            <w:tcW w:w="457" w:type="dxa"/>
            <w:tcBorders>
              <w:top w:val="single" w:sz="4" w:space="0" w:color="000000"/>
              <w:left w:val="single" w:sz="4" w:space="0" w:color="000000"/>
              <w:bottom w:val="single" w:sz="4" w:space="0" w:color="000000"/>
              <w:right w:val="nil"/>
            </w:tcBorders>
          </w:tcPr>
          <w:p w14:paraId="691E5779" w14:textId="77777777" w:rsidR="009C7506" w:rsidRDefault="009C7506">
            <w:pPr>
              <w:spacing w:after="160" w:line="259" w:lineRule="auto"/>
              <w:ind w:left="0" w:right="0" w:firstLine="0"/>
              <w:jc w:val="left"/>
            </w:pPr>
          </w:p>
        </w:tc>
        <w:tc>
          <w:tcPr>
            <w:tcW w:w="1190" w:type="dxa"/>
            <w:tcBorders>
              <w:top w:val="single" w:sz="4" w:space="0" w:color="000000"/>
              <w:left w:val="nil"/>
              <w:bottom w:val="single" w:sz="4" w:space="0" w:color="000000"/>
              <w:right w:val="single" w:sz="4" w:space="0" w:color="000000"/>
            </w:tcBorders>
            <w:vAlign w:val="center"/>
          </w:tcPr>
          <w:p w14:paraId="4C0EA22F" w14:textId="77777777" w:rsidR="009C7506" w:rsidRDefault="008B3AB3">
            <w:pPr>
              <w:spacing w:after="0" w:line="259" w:lineRule="auto"/>
              <w:ind w:left="0" w:right="0" w:firstLine="0"/>
              <w:jc w:val="left"/>
            </w:pPr>
            <w:r>
              <w:rPr>
                <w:i/>
              </w:rPr>
              <w:t xml:space="preserve">UNDRR </w:t>
            </w:r>
          </w:p>
        </w:tc>
        <w:tc>
          <w:tcPr>
            <w:tcW w:w="1853" w:type="dxa"/>
            <w:tcBorders>
              <w:top w:val="single" w:sz="4" w:space="0" w:color="000000"/>
              <w:left w:val="single" w:sz="4" w:space="0" w:color="000000"/>
              <w:bottom w:val="single" w:sz="4" w:space="0" w:color="000000"/>
              <w:right w:val="single" w:sz="4" w:space="0" w:color="000000"/>
            </w:tcBorders>
            <w:vAlign w:val="center"/>
          </w:tcPr>
          <w:p w14:paraId="6870CE1F" w14:textId="77777777" w:rsidR="009C7506" w:rsidRDefault="008B3AB3">
            <w:pPr>
              <w:spacing w:after="0" w:line="259" w:lineRule="auto"/>
              <w:ind w:left="55" w:right="0" w:firstLine="0"/>
              <w:jc w:val="center"/>
            </w:pPr>
            <w:r>
              <w:t xml:space="preserve">The leading </w:t>
            </w:r>
          </w:p>
        </w:tc>
        <w:tc>
          <w:tcPr>
            <w:tcW w:w="1618" w:type="dxa"/>
            <w:tcBorders>
              <w:top w:val="single" w:sz="4" w:space="0" w:color="000000"/>
              <w:left w:val="single" w:sz="4" w:space="0" w:color="000000"/>
              <w:bottom w:val="single" w:sz="4" w:space="0" w:color="000000"/>
              <w:right w:val="single" w:sz="4" w:space="0" w:color="000000"/>
            </w:tcBorders>
            <w:vAlign w:val="center"/>
          </w:tcPr>
          <w:p w14:paraId="4AA06E6D" w14:textId="77777777" w:rsidR="009C7506" w:rsidRDefault="008B3AB3">
            <w:pPr>
              <w:spacing w:after="0" w:line="259" w:lineRule="auto"/>
              <w:ind w:left="51" w:right="0" w:firstLine="0"/>
              <w:jc w:val="center"/>
            </w:pPr>
            <w:r>
              <w:t xml:space="preserve">- </w:t>
            </w:r>
          </w:p>
        </w:tc>
        <w:tc>
          <w:tcPr>
            <w:tcW w:w="1601" w:type="dxa"/>
            <w:tcBorders>
              <w:top w:val="single" w:sz="4" w:space="0" w:color="000000"/>
              <w:left w:val="single" w:sz="4" w:space="0" w:color="000000"/>
              <w:bottom w:val="single" w:sz="4" w:space="0" w:color="000000"/>
              <w:right w:val="nil"/>
            </w:tcBorders>
            <w:vAlign w:val="center"/>
          </w:tcPr>
          <w:p w14:paraId="07B92C69" w14:textId="77777777" w:rsidR="009C7506" w:rsidRDefault="008B3AB3">
            <w:pPr>
              <w:spacing w:after="0" w:line="259" w:lineRule="auto"/>
              <w:ind w:left="53" w:right="0" w:firstLine="0"/>
              <w:jc w:val="center"/>
            </w:pPr>
            <w:r>
              <w:t xml:space="preserve">+ </w:t>
            </w:r>
          </w:p>
        </w:tc>
      </w:tr>
      <w:tr w:rsidR="009C7506" w14:paraId="0B5FA172" w14:textId="77777777">
        <w:trPr>
          <w:trHeight w:val="478"/>
        </w:trPr>
        <w:tc>
          <w:tcPr>
            <w:tcW w:w="1805" w:type="dxa"/>
            <w:tcBorders>
              <w:top w:val="single" w:sz="4" w:space="0" w:color="000000"/>
              <w:left w:val="nil"/>
              <w:bottom w:val="single" w:sz="4" w:space="0" w:color="000000"/>
              <w:right w:val="single" w:sz="4" w:space="0" w:color="000000"/>
            </w:tcBorders>
          </w:tcPr>
          <w:p w14:paraId="44FB19A5" w14:textId="77777777" w:rsidR="009C7506" w:rsidRDefault="009C7506">
            <w:pPr>
              <w:spacing w:after="160" w:line="259" w:lineRule="auto"/>
              <w:ind w:left="0" w:right="0" w:firstLine="0"/>
              <w:jc w:val="left"/>
            </w:pPr>
          </w:p>
        </w:tc>
        <w:tc>
          <w:tcPr>
            <w:tcW w:w="1647" w:type="dxa"/>
            <w:gridSpan w:val="2"/>
            <w:tcBorders>
              <w:top w:val="single" w:sz="4" w:space="0" w:color="000000"/>
              <w:left w:val="single" w:sz="4" w:space="0" w:color="000000"/>
              <w:bottom w:val="single" w:sz="4" w:space="0" w:color="000000"/>
              <w:right w:val="single" w:sz="4" w:space="0" w:color="000000"/>
            </w:tcBorders>
          </w:tcPr>
          <w:p w14:paraId="701399A4" w14:textId="77777777" w:rsidR="009C7506" w:rsidRDefault="009C7506">
            <w:pPr>
              <w:spacing w:after="160" w:line="259" w:lineRule="auto"/>
              <w:ind w:left="0" w:right="0" w:firstLine="0"/>
              <w:jc w:val="left"/>
            </w:pPr>
          </w:p>
        </w:tc>
        <w:tc>
          <w:tcPr>
            <w:tcW w:w="1853" w:type="dxa"/>
            <w:tcBorders>
              <w:top w:val="single" w:sz="4" w:space="0" w:color="000000"/>
              <w:left w:val="single" w:sz="4" w:space="0" w:color="000000"/>
              <w:bottom w:val="single" w:sz="4" w:space="0" w:color="000000"/>
              <w:right w:val="single" w:sz="4" w:space="0" w:color="000000"/>
            </w:tcBorders>
            <w:vAlign w:val="center"/>
          </w:tcPr>
          <w:p w14:paraId="3AFA2C74" w14:textId="77777777" w:rsidR="009C7506" w:rsidRDefault="008B3AB3">
            <w:pPr>
              <w:spacing w:after="0" w:line="259" w:lineRule="auto"/>
              <w:ind w:left="0" w:right="55" w:firstLine="0"/>
              <w:jc w:val="center"/>
            </w:pPr>
            <w:r>
              <w:t xml:space="preserve">underwriter </w:t>
            </w:r>
          </w:p>
        </w:tc>
        <w:tc>
          <w:tcPr>
            <w:tcW w:w="1618" w:type="dxa"/>
            <w:tcBorders>
              <w:top w:val="single" w:sz="4" w:space="0" w:color="000000"/>
              <w:left w:val="single" w:sz="4" w:space="0" w:color="000000"/>
              <w:bottom w:val="single" w:sz="4" w:space="0" w:color="000000"/>
              <w:right w:val="single" w:sz="4" w:space="0" w:color="000000"/>
            </w:tcBorders>
          </w:tcPr>
          <w:p w14:paraId="2A882BFE" w14:textId="77777777" w:rsidR="009C7506" w:rsidRDefault="009C7506">
            <w:pPr>
              <w:spacing w:after="160" w:line="259" w:lineRule="auto"/>
              <w:ind w:left="0" w:right="0" w:firstLine="0"/>
              <w:jc w:val="left"/>
            </w:pPr>
          </w:p>
        </w:tc>
        <w:tc>
          <w:tcPr>
            <w:tcW w:w="1601" w:type="dxa"/>
            <w:tcBorders>
              <w:top w:val="single" w:sz="4" w:space="0" w:color="000000"/>
              <w:left w:val="single" w:sz="4" w:space="0" w:color="000000"/>
              <w:bottom w:val="single" w:sz="4" w:space="0" w:color="000000"/>
              <w:right w:val="nil"/>
            </w:tcBorders>
          </w:tcPr>
          <w:p w14:paraId="450C7E8C" w14:textId="77777777" w:rsidR="009C7506" w:rsidRDefault="009C7506">
            <w:pPr>
              <w:spacing w:after="160" w:line="259" w:lineRule="auto"/>
              <w:ind w:left="0" w:right="0" w:firstLine="0"/>
              <w:jc w:val="left"/>
            </w:pPr>
          </w:p>
        </w:tc>
      </w:tr>
      <w:tr w:rsidR="009C7506" w14:paraId="417171D5" w14:textId="77777777">
        <w:trPr>
          <w:trHeight w:val="478"/>
        </w:trPr>
        <w:tc>
          <w:tcPr>
            <w:tcW w:w="1805" w:type="dxa"/>
            <w:vMerge w:val="restart"/>
            <w:tcBorders>
              <w:top w:val="single" w:sz="4" w:space="0" w:color="000000"/>
              <w:left w:val="nil"/>
              <w:bottom w:val="single" w:sz="4" w:space="0" w:color="000000"/>
              <w:right w:val="single" w:sz="4" w:space="0" w:color="000000"/>
            </w:tcBorders>
            <w:vAlign w:val="center"/>
          </w:tcPr>
          <w:p w14:paraId="6EC14B0F" w14:textId="77777777" w:rsidR="009C7506" w:rsidRDefault="008B3AB3">
            <w:pPr>
              <w:spacing w:after="0" w:line="259" w:lineRule="auto"/>
              <w:ind w:left="47" w:right="0" w:firstLine="0"/>
              <w:jc w:val="left"/>
            </w:pPr>
            <w:r>
              <w:rPr>
                <w:i/>
                <w:sz w:val="21"/>
              </w:rPr>
              <w:t>OTHERguarantee</w:t>
            </w:r>
            <w:r>
              <w:rPr>
                <w:b/>
                <w:sz w:val="19"/>
                <w:vertAlign w:val="subscript"/>
              </w:rPr>
              <w:t>i</w:t>
            </w:r>
            <w:r>
              <w:t xml:space="preserve"> </w:t>
            </w:r>
          </w:p>
        </w:tc>
        <w:tc>
          <w:tcPr>
            <w:tcW w:w="1647" w:type="dxa"/>
            <w:gridSpan w:val="2"/>
            <w:tcBorders>
              <w:top w:val="single" w:sz="4" w:space="0" w:color="000000"/>
              <w:left w:val="single" w:sz="4" w:space="0" w:color="000000"/>
              <w:bottom w:val="single" w:sz="4" w:space="0" w:color="000000"/>
              <w:right w:val="single" w:sz="4" w:space="0" w:color="000000"/>
            </w:tcBorders>
            <w:vAlign w:val="center"/>
          </w:tcPr>
          <w:p w14:paraId="08696495" w14:textId="77777777" w:rsidR="009C7506" w:rsidRDefault="008B3AB3">
            <w:pPr>
              <w:spacing w:after="0" w:line="259" w:lineRule="auto"/>
              <w:ind w:left="0" w:right="0" w:firstLine="0"/>
              <w:jc w:val="left"/>
            </w:pPr>
            <w:r>
              <w:rPr>
                <w:i/>
              </w:rPr>
              <w:t>GDP(</w:t>
            </w:r>
            <w:r>
              <w:rPr>
                <w:rFonts w:ascii="SimSun" w:eastAsia="SimSun" w:hAnsi="SimSun" w:cs="SimSun"/>
                <w:sz w:val="23"/>
              </w:rPr>
              <w:t>￥</w:t>
            </w:r>
            <w:r>
              <w:rPr>
                <w:i/>
              </w:rPr>
              <w:t xml:space="preserve">trillion) </w:t>
            </w:r>
          </w:p>
        </w:tc>
        <w:tc>
          <w:tcPr>
            <w:tcW w:w="1853" w:type="dxa"/>
            <w:tcBorders>
              <w:top w:val="single" w:sz="4" w:space="0" w:color="000000"/>
              <w:left w:val="single" w:sz="4" w:space="0" w:color="000000"/>
              <w:bottom w:val="single" w:sz="4" w:space="0" w:color="000000"/>
              <w:right w:val="single" w:sz="4" w:space="0" w:color="000000"/>
            </w:tcBorders>
            <w:vAlign w:val="center"/>
          </w:tcPr>
          <w:p w14:paraId="4E444B6B" w14:textId="77777777" w:rsidR="009C7506" w:rsidRDefault="008B3AB3">
            <w:pPr>
              <w:spacing w:after="0" w:line="259" w:lineRule="auto"/>
              <w:ind w:left="0" w:right="58" w:firstLine="0"/>
              <w:jc w:val="center"/>
            </w:pPr>
            <w:r>
              <w:t xml:space="preserve">GDP </w:t>
            </w:r>
          </w:p>
        </w:tc>
        <w:tc>
          <w:tcPr>
            <w:tcW w:w="1618" w:type="dxa"/>
            <w:tcBorders>
              <w:top w:val="single" w:sz="4" w:space="0" w:color="000000"/>
              <w:left w:val="single" w:sz="4" w:space="0" w:color="000000"/>
              <w:bottom w:val="single" w:sz="4" w:space="0" w:color="000000"/>
              <w:right w:val="single" w:sz="4" w:space="0" w:color="000000"/>
            </w:tcBorders>
            <w:vAlign w:val="center"/>
          </w:tcPr>
          <w:p w14:paraId="2D0E36EB" w14:textId="77777777" w:rsidR="009C7506" w:rsidRDefault="008B3AB3">
            <w:pPr>
              <w:spacing w:after="0" w:line="259" w:lineRule="auto"/>
              <w:ind w:left="0" w:right="60" w:firstLine="0"/>
              <w:jc w:val="center"/>
            </w:pPr>
            <w:r>
              <w:t xml:space="preserve">- </w:t>
            </w:r>
          </w:p>
        </w:tc>
        <w:tc>
          <w:tcPr>
            <w:tcW w:w="1601" w:type="dxa"/>
            <w:tcBorders>
              <w:top w:val="single" w:sz="4" w:space="0" w:color="000000"/>
              <w:left w:val="single" w:sz="4" w:space="0" w:color="000000"/>
              <w:bottom w:val="single" w:sz="4" w:space="0" w:color="000000"/>
              <w:right w:val="nil"/>
            </w:tcBorders>
            <w:vAlign w:val="center"/>
          </w:tcPr>
          <w:p w14:paraId="155D9031" w14:textId="77777777" w:rsidR="009C7506" w:rsidRDefault="008B3AB3">
            <w:pPr>
              <w:spacing w:after="0" w:line="259" w:lineRule="auto"/>
              <w:ind w:left="0" w:right="58" w:firstLine="0"/>
              <w:jc w:val="center"/>
            </w:pPr>
            <w:r>
              <w:t xml:space="preserve">+ </w:t>
            </w:r>
          </w:p>
        </w:tc>
      </w:tr>
      <w:tr w:rsidR="009C7506" w14:paraId="7755E515" w14:textId="77777777">
        <w:trPr>
          <w:trHeight w:val="948"/>
        </w:trPr>
        <w:tc>
          <w:tcPr>
            <w:tcW w:w="0" w:type="auto"/>
            <w:vMerge/>
            <w:tcBorders>
              <w:top w:val="nil"/>
              <w:left w:val="nil"/>
              <w:bottom w:val="single" w:sz="4" w:space="0" w:color="000000"/>
              <w:right w:val="single" w:sz="4" w:space="0" w:color="000000"/>
            </w:tcBorders>
          </w:tcPr>
          <w:p w14:paraId="3828BD8A" w14:textId="77777777" w:rsidR="009C7506" w:rsidRDefault="009C7506">
            <w:pPr>
              <w:spacing w:after="160" w:line="259" w:lineRule="auto"/>
              <w:ind w:left="0" w:right="0" w:firstLine="0"/>
              <w:jc w:val="left"/>
            </w:pPr>
          </w:p>
        </w:tc>
        <w:tc>
          <w:tcPr>
            <w:tcW w:w="1647" w:type="dxa"/>
            <w:gridSpan w:val="2"/>
            <w:tcBorders>
              <w:top w:val="single" w:sz="4" w:space="0" w:color="000000"/>
              <w:left w:val="single" w:sz="4" w:space="0" w:color="000000"/>
              <w:bottom w:val="single" w:sz="4" w:space="0" w:color="000000"/>
              <w:right w:val="single" w:sz="4" w:space="0" w:color="000000"/>
            </w:tcBorders>
            <w:vAlign w:val="center"/>
          </w:tcPr>
          <w:p w14:paraId="0DFC23B7" w14:textId="77777777" w:rsidR="009C7506" w:rsidRDefault="008B3AB3">
            <w:pPr>
              <w:spacing w:after="0" w:line="259" w:lineRule="auto"/>
              <w:ind w:left="0" w:right="56" w:firstLine="0"/>
              <w:jc w:val="center"/>
            </w:pPr>
            <w:r>
              <w:rPr>
                <w:i/>
              </w:rPr>
              <w:t>LTD</w:t>
            </w:r>
            <w:r>
              <w:t xml:space="preserve"> (%)</w:t>
            </w:r>
            <w:r>
              <w:rPr>
                <w:i/>
              </w:rP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1CF2C906" w14:textId="77777777" w:rsidR="009C7506" w:rsidRDefault="008B3AB3">
            <w:pPr>
              <w:spacing w:after="192" w:line="259" w:lineRule="auto"/>
              <w:ind w:left="0" w:right="55" w:firstLine="0"/>
              <w:jc w:val="center"/>
            </w:pPr>
            <w:r>
              <w:t xml:space="preserve">Loan-to-deposit </w:t>
            </w:r>
          </w:p>
          <w:p w14:paraId="29169EBB" w14:textId="77777777" w:rsidR="009C7506" w:rsidRDefault="008B3AB3">
            <w:pPr>
              <w:spacing w:after="0" w:line="259" w:lineRule="auto"/>
              <w:ind w:left="0" w:firstLine="0"/>
              <w:jc w:val="center"/>
            </w:pPr>
            <w:r>
              <w:t xml:space="preserve">ratio </w:t>
            </w:r>
          </w:p>
        </w:tc>
        <w:tc>
          <w:tcPr>
            <w:tcW w:w="1618" w:type="dxa"/>
            <w:tcBorders>
              <w:top w:val="single" w:sz="4" w:space="0" w:color="000000"/>
              <w:left w:val="single" w:sz="4" w:space="0" w:color="000000"/>
              <w:bottom w:val="single" w:sz="4" w:space="0" w:color="000000"/>
              <w:right w:val="single" w:sz="4" w:space="0" w:color="000000"/>
            </w:tcBorders>
            <w:vAlign w:val="center"/>
          </w:tcPr>
          <w:p w14:paraId="63D44492" w14:textId="77777777" w:rsidR="009C7506" w:rsidRDefault="008B3AB3">
            <w:pPr>
              <w:spacing w:after="0" w:line="259" w:lineRule="auto"/>
              <w:ind w:left="0" w:right="60" w:firstLine="0"/>
              <w:jc w:val="center"/>
            </w:pPr>
            <w:r>
              <w:t xml:space="preserve">- </w:t>
            </w:r>
          </w:p>
        </w:tc>
        <w:tc>
          <w:tcPr>
            <w:tcW w:w="1601" w:type="dxa"/>
            <w:tcBorders>
              <w:top w:val="single" w:sz="4" w:space="0" w:color="000000"/>
              <w:left w:val="single" w:sz="4" w:space="0" w:color="000000"/>
              <w:bottom w:val="single" w:sz="4" w:space="0" w:color="000000"/>
              <w:right w:val="nil"/>
            </w:tcBorders>
            <w:vAlign w:val="center"/>
          </w:tcPr>
          <w:p w14:paraId="615790AB" w14:textId="77777777" w:rsidR="009C7506" w:rsidRDefault="008B3AB3">
            <w:pPr>
              <w:spacing w:after="0" w:line="259" w:lineRule="auto"/>
              <w:ind w:left="0" w:right="58" w:firstLine="0"/>
              <w:jc w:val="center"/>
            </w:pPr>
            <w:r>
              <w:t xml:space="preserve">+ </w:t>
            </w:r>
          </w:p>
        </w:tc>
      </w:tr>
    </w:tbl>
    <w:p w14:paraId="35424539" w14:textId="77777777" w:rsidR="009C7506" w:rsidRDefault="008B3AB3">
      <w:pPr>
        <w:spacing w:after="36" w:line="259" w:lineRule="auto"/>
        <w:ind w:left="0" w:right="4" w:firstLine="0"/>
        <w:jc w:val="center"/>
      </w:pPr>
      <w:r>
        <w:rPr>
          <w:b/>
        </w:rPr>
        <w:t xml:space="preserve"> </w:t>
      </w:r>
    </w:p>
    <w:p w14:paraId="4A667971" w14:textId="77777777" w:rsidR="009C7506" w:rsidRDefault="008B3AB3">
      <w:pPr>
        <w:pStyle w:val="Heading2"/>
        <w:ind w:left="1404" w:right="41"/>
      </w:pPr>
      <w:r>
        <w:lastRenderedPageBreak/>
        <w:t xml:space="preserve">Table 2 Controlled variables and their symbol expectations </w:t>
      </w:r>
    </w:p>
    <w:p w14:paraId="584DC6CE" w14:textId="77777777" w:rsidR="009C7506" w:rsidRDefault="008B3AB3">
      <w:pPr>
        <w:spacing w:after="0" w:line="259" w:lineRule="auto"/>
        <w:ind w:left="0" w:right="4" w:firstLine="0"/>
        <w:jc w:val="center"/>
      </w:pPr>
      <w:r>
        <w:rPr>
          <w:b/>
        </w:rPr>
        <w:t xml:space="preserve"> </w:t>
      </w:r>
    </w:p>
    <w:tbl>
      <w:tblPr>
        <w:tblStyle w:val="TableGrid"/>
        <w:tblW w:w="8538" w:type="dxa"/>
        <w:tblInd w:w="-122" w:type="dxa"/>
        <w:tblCellMar>
          <w:top w:w="0" w:type="dxa"/>
          <w:left w:w="115" w:type="dxa"/>
          <w:bottom w:w="0" w:type="dxa"/>
          <w:right w:w="115" w:type="dxa"/>
        </w:tblCellMar>
        <w:tblLook w:val="04A0" w:firstRow="1" w:lastRow="0" w:firstColumn="1" w:lastColumn="0" w:noHBand="0" w:noVBand="1"/>
      </w:tblPr>
      <w:tblGrid>
        <w:gridCol w:w="1641"/>
        <w:gridCol w:w="2365"/>
        <w:gridCol w:w="2283"/>
        <w:gridCol w:w="2249"/>
      </w:tblGrid>
      <w:tr w:rsidR="009C7506" w14:paraId="514C2AD2" w14:textId="77777777">
        <w:trPr>
          <w:trHeight w:val="946"/>
        </w:trPr>
        <w:tc>
          <w:tcPr>
            <w:tcW w:w="1642" w:type="dxa"/>
            <w:tcBorders>
              <w:top w:val="single" w:sz="4" w:space="0" w:color="000000"/>
              <w:left w:val="nil"/>
              <w:bottom w:val="single" w:sz="4" w:space="0" w:color="000000"/>
              <w:right w:val="single" w:sz="4" w:space="0" w:color="000000"/>
            </w:tcBorders>
            <w:vAlign w:val="center"/>
          </w:tcPr>
          <w:p w14:paraId="3AD0B61C" w14:textId="77777777" w:rsidR="009C7506" w:rsidRDefault="008B3AB3">
            <w:pPr>
              <w:spacing w:after="0" w:line="259" w:lineRule="auto"/>
              <w:ind w:left="0" w:right="0" w:firstLine="0"/>
              <w:jc w:val="center"/>
            </w:pPr>
            <w:r>
              <w:t xml:space="preserve">Controlled variables </w:t>
            </w:r>
          </w:p>
        </w:tc>
        <w:tc>
          <w:tcPr>
            <w:tcW w:w="2365" w:type="dxa"/>
            <w:tcBorders>
              <w:top w:val="single" w:sz="4" w:space="0" w:color="000000"/>
              <w:left w:val="single" w:sz="4" w:space="0" w:color="000000"/>
              <w:bottom w:val="single" w:sz="4" w:space="0" w:color="000000"/>
              <w:right w:val="single" w:sz="4" w:space="0" w:color="000000"/>
            </w:tcBorders>
            <w:vAlign w:val="center"/>
          </w:tcPr>
          <w:p w14:paraId="73E731E0" w14:textId="77777777" w:rsidR="009C7506" w:rsidRDefault="008B3AB3">
            <w:pPr>
              <w:spacing w:after="0" w:line="259" w:lineRule="auto"/>
              <w:ind w:left="2" w:right="0" w:firstLine="0"/>
              <w:jc w:val="center"/>
            </w:pPr>
            <w:r>
              <w:t xml:space="preserve">Definition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07715930" w14:textId="77777777" w:rsidR="009C7506" w:rsidRDefault="008B3AB3">
            <w:pPr>
              <w:spacing w:after="0" w:line="259" w:lineRule="auto"/>
              <w:ind w:left="0" w:right="0" w:firstLine="0"/>
              <w:jc w:val="center"/>
            </w:pPr>
            <w:r>
              <w:t xml:space="preserve">Symbols expected to credit spreads </w:t>
            </w:r>
          </w:p>
        </w:tc>
        <w:tc>
          <w:tcPr>
            <w:tcW w:w="2249" w:type="dxa"/>
            <w:tcBorders>
              <w:top w:val="single" w:sz="4" w:space="0" w:color="000000"/>
              <w:left w:val="single" w:sz="4" w:space="0" w:color="000000"/>
              <w:bottom w:val="single" w:sz="4" w:space="0" w:color="000000"/>
              <w:right w:val="nil"/>
            </w:tcBorders>
            <w:vAlign w:val="center"/>
          </w:tcPr>
          <w:p w14:paraId="22772ED3" w14:textId="77777777" w:rsidR="009C7506" w:rsidRDefault="008B3AB3">
            <w:pPr>
              <w:spacing w:after="0" w:line="259" w:lineRule="auto"/>
              <w:ind w:left="0" w:right="0" w:firstLine="0"/>
              <w:jc w:val="center"/>
            </w:pPr>
            <w:r>
              <w:t xml:space="preserve">Symbols expected to credit ratings </w:t>
            </w:r>
          </w:p>
        </w:tc>
      </w:tr>
      <w:tr w:rsidR="009C7506" w14:paraId="4F1B991C" w14:textId="77777777">
        <w:trPr>
          <w:trHeight w:val="478"/>
        </w:trPr>
        <w:tc>
          <w:tcPr>
            <w:tcW w:w="1642" w:type="dxa"/>
            <w:tcBorders>
              <w:top w:val="single" w:sz="4" w:space="0" w:color="000000"/>
              <w:left w:val="nil"/>
              <w:bottom w:val="single" w:sz="4" w:space="0" w:color="000000"/>
              <w:right w:val="single" w:sz="4" w:space="0" w:color="000000"/>
            </w:tcBorders>
            <w:vAlign w:val="center"/>
          </w:tcPr>
          <w:p w14:paraId="72138FC8" w14:textId="77777777" w:rsidR="009C7506" w:rsidRDefault="008B3AB3">
            <w:pPr>
              <w:spacing w:after="0" w:line="259" w:lineRule="auto"/>
              <w:ind w:left="15" w:right="0" w:firstLine="0"/>
              <w:jc w:val="center"/>
            </w:pPr>
            <w:r>
              <w:rPr>
                <w:i/>
              </w:rPr>
              <w:t xml:space="preserve">Term </w:t>
            </w:r>
          </w:p>
        </w:tc>
        <w:tc>
          <w:tcPr>
            <w:tcW w:w="2365" w:type="dxa"/>
            <w:tcBorders>
              <w:top w:val="single" w:sz="4" w:space="0" w:color="000000"/>
              <w:left w:val="single" w:sz="4" w:space="0" w:color="000000"/>
              <w:bottom w:val="single" w:sz="4" w:space="0" w:color="000000"/>
              <w:right w:val="single" w:sz="4" w:space="0" w:color="000000"/>
            </w:tcBorders>
            <w:vAlign w:val="center"/>
          </w:tcPr>
          <w:p w14:paraId="737FCF29" w14:textId="77777777" w:rsidR="009C7506" w:rsidRDefault="008B3AB3">
            <w:pPr>
              <w:spacing w:after="0" w:line="259" w:lineRule="auto"/>
              <w:ind w:left="0" w:right="1" w:firstLine="0"/>
              <w:jc w:val="center"/>
            </w:pPr>
            <w:r>
              <w:t xml:space="preserve">Term (year) </w:t>
            </w:r>
          </w:p>
        </w:tc>
        <w:tc>
          <w:tcPr>
            <w:tcW w:w="2283" w:type="dxa"/>
            <w:tcBorders>
              <w:top w:val="single" w:sz="4" w:space="0" w:color="000000"/>
              <w:left w:val="single" w:sz="4" w:space="0" w:color="000000"/>
              <w:bottom w:val="single" w:sz="4" w:space="0" w:color="000000"/>
              <w:right w:val="single" w:sz="4" w:space="0" w:color="000000"/>
            </w:tcBorders>
            <w:vAlign w:val="center"/>
          </w:tcPr>
          <w:p w14:paraId="093B3A21" w14:textId="77777777" w:rsidR="009C7506" w:rsidRDefault="008B3AB3">
            <w:pPr>
              <w:spacing w:after="0" w:line="259" w:lineRule="auto"/>
              <w:ind w:left="0" w:right="2" w:firstLine="0"/>
              <w:jc w:val="center"/>
            </w:pPr>
            <w:r>
              <w:t xml:space="preserve">+ </w:t>
            </w:r>
          </w:p>
        </w:tc>
        <w:tc>
          <w:tcPr>
            <w:tcW w:w="2249" w:type="dxa"/>
            <w:tcBorders>
              <w:top w:val="single" w:sz="4" w:space="0" w:color="000000"/>
              <w:left w:val="single" w:sz="4" w:space="0" w:color="000000"/>
              <w:bottom w:val="single" w:sz="4" w:space="0" w:color="000000"/>
              <w:right w:val="nil"/>
            </w:tcBorders>
            <w:vAlign w:val="center"/>
          </w:tcPr>
          <w:p w14:paraId="4031BC8F" w14:textId="77777777" w:rsidR="009C7506" w:rsidRDefault="008B3AB3">
            <w:pPr>
              <w:spacing w:after="0" w:line="259" w:lineRule="auto"/>
              <w:ind w:left="0" w:right="0" w:firstLine="0"/>
              <w:jc w:val="center"/>
            </w:pPr>
            <w:r>
              <w:t xml:space="preserve">- </w:t>
            </w:r>
          </w:p>
        </w:tc>
      </w:tr>
      <w:tr w:rsidR="009C7506" w14:paraId="2C14AD5F" w14:textId="77777777">
        <w:trPr>
          <w:trHeight w:val="946"/>
        </w:trPr>
        <w:tc>
          <w:tcPr>
            <w:tcW w:w="1642" w:type="dxa"/>
            <w:tcBorders>
              <w:top w:val="single" w:sz="4" w:space="0" w:color="000000"/>
              <w:left w:val="nil"/>
              <w:bottom w:val="single" w:sz="4" w:space="0" w:color="000000"/>
              <w:right w:val="single" w:sz="4" w:space="0" w:color="000000"/>
            </w:tcBorders>
            <w:vAlign w:val="center"/>
          </w:tcPr>
          <w:p w14:paraId="70CD94DF" w14:textId="77777777" w:rsidR="009C7506" w:rsidRDefault="008B3AB3">
            <w:pPr>
              <w:spacing w:after="0" w:line="259" w:lineRule="auto"/>
              <w:ind w:left="13" w:right="0" w:firstLine="0"/>
              <w:jc w:val="center"/>
            </w:pPr>
            <w:r>
              <w:rPr>
                <w:i/>
              </w:rPr>
              <w:t xml:space="preserve">TotalSize </w:t>
            </w:r>
          </w:p>
        </w:tc>
        <w:tc>
          <w:tcPr>
            <w:tcW w:w="2365" w:type="dxa"/>
            <w:tcBorders>
              <w:top w:val="single" w:sz="4" w:space="0" w:color="000000"/>
              <w:left w:val="single" w:sz="4" w:space="0" w:color="000000"/>
              <w:bottom w:val="single" w:sz="4" w:space="0" w:color="000000"/>
              <w:right w:val="single" w:sz="4" w:space="0" w:color="000000"/>
            </w:tcBorders>
            <w:vAlign w:val="center"/>
          </w:tcPr>
          <w:p w14:paraId="19D516B7" w14:textId="77777777" w:rsidR="009C7506" w:rsidRDefault="008B3AB3">
            <w:pPr>
              <w:spacing w:after="0" w:line="259" w:lineRule="auto"/>
              <w:ind w:left="0" w:right="0" w:firstLine="0"/>
              <w:jc w:val="center"/>
            </w:pPr>
            <w:r>
              <w:t>Issue size (</w:t>
            </w:r>
            <w:r>
              <w:rPr>
                <w:rFonts w:ascii="SimSun" w:eastAsia="SimSun" w:hAnsi="SimSun" w:cs="SimSun"/>
              </w:rPr>
              <w:t>￥</w:t>
            </w:r>
            <w:r>
              <w:t xml:space="preserve">100 million)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1ED52CF2" w14:textId="77777777" w:rsidR="009C7506" w:rsidRDefault="008B3AB3">
            <w:pPr>
              <w:spacing w:after="0" w:line="259" w:lineRule="auto"/>
              <w:ind w:left="0" w:right="2" w:firstLine="0"/>
              <w:jc w:val="center"/>
            </w:pPr>
            <w:r>
              <w:rPr>
                <w:rFonts w:ascii="SimSun" w:eastAsia="SimSun" w:hAnsi="SimSun" w:cs="SimSun"/>
              </w:rPr>
              <w:t>？</w:t>
            </w:r>
            <w:r>
              <w:t xml:space="preserve"> </w:t>
            </w:r>
          </w:p>
        </w:tc>
        <w:tc>
          <w:tcPr>
            <w:tcW w:w="2249" w:type="dxa"/>
            <w:tcBorders>
              <w:top w:val="single" w:sz="4" w:space="0" w:color="000000"/>
              <w:left w:val="single" w:sz="4" w:space="0" w:color="000000"/>
              <w:bottom w:val="single" w:sz="4" w:space="0" w:color="000000"/>
              <w:right w:val="nil"/>
            </w:tcBorders>
            <w:vAlign w:val="center"/>
          </w:tcPr>
          <w:p w14:paraId="7329F7CF" w14:textId="77777777" w:rsidR="009C7506" w:rsidRDefault="008B3AB3">
            <w:pPr>
              <w:spacing w:after="0" w:line="259" w:lineRule="auto"/>
              <w:ind w:left="0" w:right="2" w:firstLine="0"/>
              <w:jc w:val="center"/>
            </w:pPr>
            <w:r>
              <w:rPr>
                <w:rFonts w:ascii="SimSun" w:eastAsia="SimSun" w:hAnsi="SimSun" w:cs="SimSun"/>
              </w:rPr>
              <w:t>？</w:t>
            </w:r>
            <w:r>
              <w:t xml:space="preserve"> </w:t>
            </w:r>
          </w:p>
        </w:tc>
      </w:tr>
      <w:tr w:rsidR="009C7506" w14:paraId="0985DDB9" w14:textId="77777777">
        <w:trPr>
          <w:trHeight w:val="946"/>
        </w:trPr>
        <w:tc>
          <w:tcPr>
            <w:tcW w:w="1642" w:type="dxa"/>
            <w:tcBorders>
              <w:top w:val="single" w:sz="4" w:space="0" w:color="000000"/>
              <w:left w:val="nil"/>
              <w:bottom w:val="single" w:sz="4" w:space="0" w:color="000000"/>
              <w:right w:val="single" w:sz="4" w:space="0" w:color="000000"/>
            </w:tcBorders>
            <w:vAlign w:val="center"/>
          </w:tcPr>
          <w:p w14:paraId="304BE204" w14:textId="77777777" w:rsidR="009C7506" w:rsidRDefault="008B3AB3">
            <w:pPr>
              <w:spacing w:after="0" w:line="259" w:lineRule="auto"/>
              <w:ind w:left="16" w:right="0" w:firstLine="0"/>
              <w:jc w:val="center"/>
            </w:pPr>
            <w:r>
              <w:rPr>
                <w:i/>
              </w:rPr>
              <w:t xml:space="preserve">Size </w:t>
            </w:r>
          </w:p>
        </w:tc>
        <w:tc>
          <w:tcPr>
            <w:tcW w:w="2365" w:type="dxa"/>
            <w:tcBorders>
              <w:top w:val="single" w:sz="4" w:space="0" w:color="000000"/>
              <w:left w:val="single" w:sz="4" w:space="0" w:color="000000"/>
              <w:bottom w:val="single" w:sz="4" w:space="0" w:color="000000"/>
              <w:right w:val="single" w:sz="4" w:space="0" w:color="000000"/>
            </w:tcBorders>
            <w:vAlign w:val="center"/>
          </w:tcPr>
          <w:p w14:paraId="6A2A7863" w14:textId="77777777" w:rsidR="009C7506" w:rsidRDefault="008B3AB3">
            <w:pPr>
              <w:spacing w:after="225" w:line="259" w:lineRule="auto"/>
              <w:ind w:left="0" w:right="2" w:firstLine="0"/>
              <w:jc w:val="center"/>
            </w:pPr>
            <w:r>
              <w:t xml:space="preserve">Total company size </w:t>
            </w:r>
          </w:p>
          <w:p w14:paraId="7A594BFF" w14:textId="77777777" w:rsidR="009C7506" w:rsidRDefault="008B3AB3">
            <w:pPr>
              <w:spacing w:after="0" w:line="259" w:lineRule="auto"/>
              <w:ind w:left="0" w:right="1" w:firstLine="0"/>
              <w:jc w:val="center"/>
            </w:pPr>
            <w:r>
              <w:t>(</w:t>
            </w:r>
            <w:r>
              <w:rPr>
                <w:rFonts w:ascii="SimSun" w:eastAsia="SimSun" w:hAnsi="SimSun" w:cs="SimSun"/>
              </w:rPr>
              <w:t>￥</w:t>
            </w:r>
            <w:r>
              <w:t xml:space="preserve">100 million)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4EC57444" w14:textId="77777777" w:rsidR="009C7506" w:rsidRDefault="008B3AB3">
            <w:pPr>
              <w:spacing w:after="0" w:line="259" w:lineRule="auto"/>
              <w:ind w:left="0" w:right="0" w:firstLine="0"/>
              <w:jc w:val="center"/>
            </w:pPr>
            <w:r>
              <w:t xml:space="preserve">- </w:t>
            </w:r>
          </w:p>
        </w:tc>
        <w:tc>
          <w:tcPr>
            <w:tcW w:w="2249" w:type="dxa"/>
            <w:tcBorders>
              <w:top w:val="single" w:sz="4" w:space="0" w:color="000000"/>
              <w:left w:val="single" w:sz="4" w:space="0" w:color="000000"/>
              <w:bottom w:val="single" w:sz="4" w:space="0" w:color="000000"/>
              <w:right w:val="nil"/>
            </w:tcBorders>
            <w:vAlign w:val="center"/>
          </w:tcPr>
          <w:p w14:paraId="080A2DA6" w14:textId="77777777" w:rsidR="009C7506" w:rsidRDefault="008B3AB3">
            <w:pPr>
              <w:spacing w:after="0" w:line="259" w:lineRule="auto"/>
              <w:ind w:left="0" w:right="2" w:firstLine="0"/>
              <w:jc w:val="center"/>
            </w:pPr>
            <w:r>
              <w:t xml:space="preserve">+ </w:t>
            </w:r>
          </w:p>
        </w:tc>
      </w:tr>
      <w:tr w:rsidR="009C7506" w14:paraId="67E081F7" w14:textId="77777777">
        <w:trPr>
          <w:trHeight w:val="480"/>
        </w:trPr>
        <w:tc>
          <w:tcPr>
            <w:tcW w:w="1642" w:type="dxa"/>
            <w:tcBorders>
              <w:top w:val="single" w:sz="4" w:space="0" w:color="000000"/>
              <w:left w:val="nil"/>
              <w:bottom w:val="single" w:sz="4" w:space="0" w:color="000000"/>
              <w:right w:val="single" w:sz="4" w:space="0" w:color="000000"/>
            </w:tcBorders>
            <w:vAlign w:val="center"/>
          </w:tcPr>
          <w:p w14:paraId="6F97C052" w14:textId="77777777" w:rsidR="009C7506" w:rsidRDefault="008B3AB3">
            <w:pPr>
              <w:spacing w:after="0" w:line="259" w:lineRule="auto"/>
              <w:ind w:left="13" w:right="0" w:firstLine="0"/>
              <w:jc w:val="center"/>
            </w:pPr>
            <w:r>
              <w:rPr>
                <w:i/>
              </w:rPr>
              <w:t xml:space="preserve">CredRat </w:t>
            </w:r>
          </w:p>
        </w:tc>
        <w:tc>
          <w:tcPr>
            <w:tcW w:w="2365" w:type="dxa"/>
            <w:tcBorders>
              <w:top w:val="single" w:sz="4" w:space="0" w:color="000000"/>
              <w:left w:val="single" w:sz="4" w:space="0" w:color="000000"/>
              <w:bottom w:val="single" w:sz="4" w:space="0" w:color="000000"/>
              <w:right w:val="single" w:sz="4" w:space="0" w:color="000000"/>
            </w:tcBorders>
            <w:vAlign w:val="center"/>
          </w:tcPr>
          <w:p w14:paraId="2BB9F9E2" w14:textId="77777777" w:rsidR="009C7506" w:rsidRDefault="008B3AB3">
            <w:pPr>
              <w:spacing w:after="0" w:line="259" w:lineRule="auto"/>
              <w:ind w:left="3" w:right="0" w:firstLine="0"/>
              <w:jc w:val="center"/>
            </w:pPr>
            <w:r>
              <w:t xml:space="preserve">Bond credit rating </w:t>
            </w:r>
          </w:p>
        </w:tc>
        <w:tc>
          <w:tcPr>
            <w:tcW w:w="2283" w:type="dxa"/>
            <w:tcBorders>
              <w:top w:val="single" w:sz="4" w:space="0" w:color="000000"/>
              <w:left w:val="single" w:sz="4" w:space="0" w:color="000000"/>
              <w:bottom w:val="single" w:sz="4" w:space="0" w:color="000000"/>
              <w:right w:val="single" w:sz="4" w:space="0" w:color="000000"/>
            </w:tcBorders>
            <w:vAlign w:val="center"/>
          </w:tcPr>
          <w:p w14:paraId="18B422C1" w14:textId="77777777" w:rsidR="009C7506" w:rsidRDefault="008B3AB3">
            <w:pPr>
              <w:spacing w:after="0" w:line="259" w:lineRule="auto"/>
              <w:ind w:left="0" w:right="0" w:firstLine="0"/>
              <w:jc w:val="center"/>
            </w:pPr>
            <w:r>
              <w:t xml:space="preserve">- </w:t>
            </w:r>
          </w:p>
        </w:tc>
        <w:tc>
          <w:tcPr>
            <w:tcW w:w="2249" w:type="dxa"/>
            <w:tcBorders>
              <w:top w:val="single" w:sz="4" w:space="0" w:color="000000"/>
              <w:left w:val="single" w:sz="4" w:space="0" w:color="000000"/>
              <w:bottom w:val="single" w:sz="4" w:space="0" w:color="000000"/>
              <w:right w:val="nil"/>
            </w:tcBorders>
            <w:vAlign w:val="center"/>
          </w:tcPr>
          <w:p w14:paraId="51A5FCCF" w14:textId="77777777" w:rsidR="009C7506" w:rsidRDefault="008B3AB3">
            <w:pPr>
              <w:spacing w:after="0" w:line="259" w:lineRule="auto"/>
              <w:ind w:left="2" w:right="0" w:firstLine="0"/>
              <w:jc w:val="center"/>
            </w:pPr>
            <w:r>
              <w:t xml:space="preserve">/ </w:t>
            </w:r>
          </w:p>
        </w:tc>
      </w:tr>
    </w:tbl>
    <w:p w14:paraId="2AE6C8BC" w14:textId="77777777" w:rsidR="009C7506" w:rsidRDefault="008B3AB3">
      <w:pPr>
        <w:spacing w:after="36" w:line="259" w:lineRule="auto"/>
        <w:ind w:left="0" w:right="4" w:firstLine="0"/>
        <w:jc w:val="center"/>
      </w:pPr>
      <w:r>
        <w:rPr>
          <w:b/>
        </w:rPr>
        <w:t xml:space="preserve"> </w:t>
      </w:r>
    </w:p>
    <w:p w14:paraId="72AF8C44" w14:textId="77777777" w:rsidR="009C7506" w:rsidRDefault="008B3AB3">
      <w:pPr>
        <w:pStyle w:val="Heading2"/>
        <w:ind w:left="1426" w:right="41"/>
      </w:pPr>
      <w:r>
        <w:t xml:space="preserve">Table 3 Financial indicators and their symbol expectations  </w:t>
      </w:r>
    </w:p>
    <w:p w14:paraId="53A500D7" w14:textId="77777777" w:rsidR="009C7506" w:rsidRDefault="008B3AB3">
      <w:pPr>
        <w:spacing w:after="0" w:line="259" w:lineRule="auto"/>
        <w:ind w:left="0" w:right="4" w:firstLine="0"/>
        <w:jc w:val="center"/>
      </w:pPr>
      <w:r>
        <w:rPr>
          <w:b/>
        </w:rPr>
        <w:t xml:space="preserve"> </w:t>
      </w:r>
    </w:p>
    <w:tbl>
      <w:tblPr>
        <w:tblStyle w:val="TableGrid"/>
        <w:tblW w:w="8538" w:type="dxa"/>
        <w:tblInd w:w="-122" w:type="dxa"/>
        <w:tblCellMar>
          <w:top w:w="0" w:type="dxa"/>
          <w:left w:w="113" w:type="dxa"/>
          <w:bottom w:w="0" w:type="dxa"/>
          <w:right w:w="57" w:type="dxa"/>
        </w:tblCellMar>
        <w:tblLook w:val="04A0" w:firstRow="1" w:lastRow="0" w:firstColumn="1" w:lastColumn="0" w:noHBand="0" w:noVBand="1"/>
      </w:tblPr>
      <w:tblGrid>
        <w:gridCol w:w="2196"/>
        <w:gridCol w:w="2736"/>
        <w:gridCol w:w="1813"/>
        <w:gridCol w:w="1793"/>
      </w:tblGrid>
      <w:tr w:rsidR="009C7506" w14:paraId="100822BD" w14:textId="77777777">
        <w:trPr>
          <w:trHeight w:val="1414"/>
        </w:trPr>
        <w:tc>
          <w:tcPr>
            <w:tcW w:w="2197" w:type="dxa"/>
            <w:tcBorders>
              <w:top w:val="single" w:sz="4" w:space="0" w:color="000000"/>
              <w:left w:val="nil"/>
              <w:bottom w:val="single" w:sz="4" w:space="0" w:color="000000"/>
              <w:right w:val="single" w:sz="4" w:space="0" w:color="000000"/>
            </w:tcBorders>
            <w:vAlign w:val="center"/>
          </w:tcPr>
          <w:p w14:paraId="7C1E26EC" w14:textId="77777777" w:rsidR="009C7506" w:rsidRDefault="008B3AB3">
            <w:pPr>
              <w:spacing w:after="0" w:line="259" w:lineRule="auto"/>
              <w:ind w:left="0" w:right="37" w:firstLine="0"/>
              <w:jc w:val="center"/>
            </w:pPr>
            <w:r>
              <w:t xml:space="preserve">Variables </w:t>
            </w:r>
          </w:p>
        </w:tc>
        <w:tc>
          <w:tcPr>
            <w:tcW w:w="2736" w:type="dxa"/>
            <w:tcBorders>
              <w:top w:val="single" w:sz="4" w:space="0" w:color="000000"/>
              <w:left w:val="single" w:sz="4" w:space="0" w:color="000000"/>
              <w:bottom w:val="single" w:sz="4" w:space="0" w:color="000000"/>
              <w:right w:val="single" w:sz="4" w:space="0" w:color="000000"/>
            </w:tcBorders>
            <w:vAlign w:val="center"/>
          </w:tcPr>
          <w:p w14:paraId="2BC81E60" w14:textId="77777777" w:rsidR="009C7506" w:rsidRDefault="008B3AB3">
            <w:pPr>
              <w:spacing w:after="0" w:line="259" w:lineRule="auto"/>
              <w:ind w:left="0" w:firstLine="0"/>
              <w:jc w:val="center"/>
            </w:pPr>
            <w:r>
              <w:t xml:space="preserve">Definition </w:t>
            </w:r>
          </w:p>
        </w:tc>
        <w:tc>
          <w:tcPr>
            <w:tcW w:w="1813" w:type="dxa"/>
            <w:tcBorders>
              <w:top w:val="single" w:sz="4" w:space="0" w:color="000000"/>
              <w:left w:val="single" w:sz="4" w:space="0" w:color="000000"/>
              <w:bottom w:val="single" w:sz="4" w:space="0" w:color="000000"/>
              <w:right w:val="single" w:sz="4" w:space="0" w:color="000000"/>
            </w:tcBorders>
            <w:vAlign w:val="center"/>
          </w:tcPr>
          <w:p w14:paraId="37421F6B" w14:textId="77777777" w:rsidR="009C7506" w:rsidRDefault="008B3AB3">
            <w:pPr>
              <w:spacing w:after="192" w:line="259" w:lineRule="auto"/>
              <w:ind w:left="0" w:firstLine="0"/>
              <w:jc w:val="center"/>
            </w:pPr>
            <w:r>
              <w:t xml:space="preserve">Symbols </w:t>
            </w:r>
          </w:p>
          <w:p w14:paraId="7EBC1DD7" w14:textId="77777777" w:rsidR="009C7506" w:rsidRDefault="008B3AB3">
            <w:pPr>
              <w:spacing w:after="0" w:line="259" w:lineRule="auto"/>
              <w:ind w:left="0" w:right="0" w:firstLine="0"/>
              <w:jc w:val="center"/>
            </w:pPr>
            <w:r>
              <w:t xml:space="preserve">expected to credit spreads </w:t>
            </w:r>
          </w:p>
        </w:tc>
        <w:tc>
          <w:tcPr>
            <w:tcW w:w="1793" w:type="dxa"/>
            <w:tcBorders>
              <w:top w:val="single" w:sz="4" w:space="0" w:color="000000"/>
              <w:left w:val="single" w:sz="4" w:space="0" w:color="000000"/>
              <w:bottom w:val="single" w:sz="4" w:space="0" w:color="000000"/>
              <w:right w:val="nil"/>
            </w:tcBorders>
            <w:vAlign w:val="center"/>
          </w:tcPr>
          <w:p w14:paraId="11D1B65F" w14:textId="77777777" w:rsidR="009C7506" w:rsidRDefault="008B3AB3">
            <w:pPr>
              <w:spacing w:after="192" w:line="259" w:lineRule="auto"/>
              <w:ind w:left="0" w:right="53" w:firstLine="0"/>
              <w:jc w:val="center"/>
            </w:pPr>
            <w:r>
              <w:t xml:space="preserve">Symbols </w:t>
            </w:r>
          </w:p>
          <w:p w14:paraId="354E1854" w14:textId="77777777" w:rsidR="009C7506" w:rsidRDefault="008B3AB3">
            <w:pPr>
              <w:spacing w:after="0" w:line="259" w:lineRule="auto"/>
              <w:ind w:left="0" w:right="0" w:firstLine="0"/>
              <w:jc w:val="center"/>
            </w:pPr>
            <w:r>
              <w:t xml:space="preserve">expected to credit ratings </w:t>
            </w:r>
          </w:p>
        </w:tc>
      </w:tr>
      <w:tr w:rsidR="009C7506" w14:paraId="499B9D8C" w14:textId="77777777">
        <w:trPr>
          <w:trHeight w:val="946"/>
        </w:trPr>
        <w:tc>
          <w:tcPr>
            <w:tcW w:w="2197" w:type="dxa"/>
            <w:tcBorders>
              <w:top w:val="single" w:sz="4" w:space="0" w:color="000000"/>
              <w:left w:val="nil"/>
              <w:bottom w:val="single" w:sz="4" w:space="0" w:color="000000"/>
              <w:right w:val="single" w:sz="4" w:space="0" w:color="000000"/>
            </w:tcBorders>
            <w:vAlign w:val="center"/>
          </w:tcPr>
          <w:p w14:paraId="2329666F" w14:textId="77777777" w:rsidR="009C7506" w:rsidRDefault="008B3AB3">
            <w:pPr>
              <w:spacing w:after="192" w:line="259" w:lineRule="auto"/>
              <w:ind w:left="0" w:right="64" w:firstLine="0"/>
              <w:jc w:val="right"/>
            </w:pPr>
            <w:r>
              <w:t xml:space="preserve">1. Liquidity ratio </w:t>
            </w:r>
          </w:p>
          <w:p w14:paraId="064B6587" w14:textId="77777777" w:rsidR="009C7506" w:rsidRDefault="008B3AB3">
            <w:pPr>
              <w:spacing w:after="0" w:line="259" w:lineRule="auto"/>
              <w:ind w:left="0" w:right="40" w:firstLine="0"/>
              <w:jc w:val="center"/>
            </w:pPr>
            <w:r>
              <w:t xml:space="preserve">Financial indicators </w:t>
            </w:r>
          </w:p>
        </w:tc>
        <w:tc>
          <w:tcPr>
            <w:tcW w:w="2736" w:type="dxa"/>
            <w:tcBorders>
              <w:top w:val="single" w:sz="4" w:space="0" w:color="000000"/>
              <w:left w:val="single" w:sz="4" w:space="0" w:color="000000"/>
              <w:bottom w:val="single" w:sz="4" w:space="0" w:color="000000"/>
              <w:right w:val="single" w:sz="4" w:space="0" w:color="000000"/>
            </w:tcBorders>
            <w:vAlign w:val="center"/>
          </w:tcPr>
          <w:p w14:paraId="15829E2C" w14:textId="77777777" w:rsidR="009C7506" w:rsidRDefault="008B3AB3">
            <w:pPr>
              <w:spacing w:after="0" w:line="259" w:lineRule="auto"/>
              <w:ind w:left="0" w:right="0" w:firstLine="0"/>
              <w:jc w:val="center"/>
            </w:pPr>
            <w:r>
              <w:t xml:space="preserve">Current assets/current liabilities *100%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4EFAC551" w14:textId="77777777" w:rsidR="009C7506" w:rsidRDefault="008B3AB3">
            <w:pPr>
              <w:spacing w:after="0" w:line="259" w:lineRule="auto"/>
              <w:ind w:left="0"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05708B46" w14:textId="77777777" w:rsidR="009C7506" w:rsidRDefault="008B3AB3">
            <w:pPr>
              <w:spacing w:after="0" w:line="259" w:lineRule="auto"/>
              <w:ind w:left="0" w:right="55" w:firstLine="0"/>
              <w:jc w:val="center"/>
            </w:pPr>
            <w:r>
              <w:t xml:space="preserve">+ </w:t>
            </w:r>
          </w:p>
        </w:tc>
      </w:tr>
      <w:tr w:rsidR="009C7506" w14:paraId="057E26B6" w14:textId="77777777">
        <w:trPr>
          <w:trHeight w:val="946"/>
        </w:trPr>
        <w:tc>
          <w:tcPr>
            <w:tcW w:w="2197" w:type="dxa"/>
            <w:tcBorders>
              <w:top w:val="single" w:sz="4" w:space="0" w:color="000000"/>
              <w:left w:val="nil"/>
              <w:bottom w:val="single" w:sz="4" w:space="0" w:color="000000"/>
              <w:right w:val="single" w:sz="4" w:space="0" w:color="000000"/>
            </w:tcBorders>
            <w:vAlign w:val="center"/>
          </w:tcPr>
          <w:p w14:paraId="71F7E8A3" w14:textId="77777777" w:rsidR="009C7506" w:rsidRDefault="008B3AB3">
            <w:pPr>
              <w:spacing w:after="0" w:line="259" w:lineRule="auto"/>
              <w:ind w:left="653" w:right="0" w:firstLine="0"/>
              <w:jc w:val="left"/>
            </w:pPr>
            <w:r>
              <w:t xml:space="preserve">2. Cash ratio </w:t>
            </w:r>
          </w:p>
        </w:tc>
        <w:tc>
          <w:tcPr>
            <w:tcW w:w="2736" w:type="dxa"/>
            <w:tcBorders>
              <w:top w:val="single" w:sz="4" w:space="0" w:color="000000"/>
              <w:left w:val="single" w:sz="4" w:space="0" w:color="000000"/>
              <w:bottom w:val="single" w:sz="4" w:space="0" w:color="000000"/>
              <w:right w:val="single" w:sz="4" w:space="0" w:color="000000"/>
            </w:tcBorders>
            <w:vAlign w:val="center"/>
          </w:tcPr>
          <w:p w14:paraId="4EA49AD1" w14:textId="77777777" w:rsidR="009C7506" w:rsidRDefault="008B3AB3">
            <w:pPr>
              <w:spacing w:after="0" w:line="259" w:lineRule="auto"/>
              <w:ind w:left="0" w:right="0" w:firstLine="0"/>
              <w:jc w:val="center"/>
            </w:pPr>
            <w:r>
              <w:t xml:space="preserve">Total amount of cash flow assets/current assets *100%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1BD42975" w14:textId="77777777" w:rsidR="009C7506" w:rsidRDefault="008B3AB3">
            <w:pPr>
              <w:spacing w:after="0" w:line="259" w:lineRule="auto"/>
              <w:ind w:left="0"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354725B3" w14:textId="77777777" w:rsidR="009C7506" w:rsidRDefault="008B3AB3">
            <w:pPr>
              <w:spacing w:after="0" w:line="259" w:lineRule="auto"/>
              <w:ind w:left="0" w:right="55" w:firstLine="0"/>
              <w:jc w:val="center"/>
            </w:pPr>
            <w:r>
              <w:t xml:space="preserve">+ </w:t>
            </w:r>
          </w:p>
        </w:tc>
      </w:tr>
      <w:tr w:rsidR="009C7506" w14:paraId="554EE526" w14:textId="77777777">
        <w:trPr>
          <w:trHeight w:val="946"/>
        </w:trPr>
        <w:tc>
          <w:tcPr>
            <w:tcW w:w="2197" w:type="dxa"/>
            <w:tcBorders>
              <w:top w:val="single" w:sz="4" w:space="0" w:color="000000"/>
              <w:left w:val="nil"/>
              <w:bottom w:val="single" w:sz="4" w:space="0" w:color="000000"/>
              <w:right w:val="single" w:sz="4" w:space="0" w:color="000000"/>
            </w:tcBorders>
            <w:vAlign w:val="center"/>
          </w:tcPr>
          <w:p w14:paraId="539FD00F" w14:textId="77777777" w:rsidR="009C7506" w:rsidRDefault="008B3AB3">
            <w:pPr>
              <w:spacing w:after="0" w:line="259" w:lineRule="auto"/>
              <w:ind w:left="790" w:right="0" w:hanging="305"/>
              <w:jc w:val="left"/>
            </w:pPr>
            <w:r>
              <w:t xml:space="preserve">3. Asset-liability ratio </w:t>
            </w:r>
          </w:p>
        </w:tc>
        <w:tc>
          <w:tcPr>
            <w:tcW w:w="2736" w:type="dxa"/>
            <w:tcBorders>
              <w:top w:val="single" w:sz="4" w:space="0" w:color="000000"/>
              <w:left w:val="single" w:sz="4" w:space="0" w:color="000000"/>
              <w:bottom w:val="single" w:sz="4" w:space="0" w:color="000000"/>
              <w:right w:val="single" w:sz="4" w:space="0" w:color="000000"/>
            </w:tcBorders>
            <w:vAlign w:val="center"/>
          </w:tcPr>
          <w:p w14:paraId="34FDB547" w14:textId="77777777" w:rsidR="009C7506" w:rsidRDefault="008B3AB3">
            <w:pPr>
              <w:spacing w:after="192" w:line="259" w:lineRule="auto"/>
              <w:ind w:left="0" w:right="58" w:firstLine="0"/>
              <w:jc w:val="center"/>
            </w:pPr>
            <w:r>
              <w:t xml:space="preserve">Total liabilities/total assets </w:t>
            </w:r>
          </w:p>
          <w:p w14:paraId="042038DE" w14:textId="77777777" w:rsidR="009C7506" w:rsidRDefault="008B3AB3">
            <w:pPr>
              <w:spacing w:after="0" w:line="259" w:lineRule="auto"/>
              <w:ind w:left="0" w:right="51" w:firstLine="0"/>
              <w:jc w:val="center"/>
            </w:pPr>
            <w:r>
              <w:t xml:space="preserve">*100%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6332487B" w14:textId="77777777" w:rsidR="009C7506" w:rsidRDefault="008B3AB3">
            <w:pPr>
              <w:spacing w:after="0" w:line="259" w:lineRule="auto"/>
              <w:ind w:left="0" w:right="56"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1B137A7E" w14:textId="77777777" w:rsidR="009C7506" w:rsidRDefault="008B3AB3">
            <w:pPr>
              <w:spacing w:after="0" w:line="259" w:lineRule="auto"/>
              <w:ind w:left="0" w:right="53" w:firstLine="0"/>
              <w:jc w:val="center"/>
            </w:pPr>
            <w:r>
              <w:t xml:space="preserve">- </w:t>
            </w:r>
          </w:p>
        </w:tc>
      </w:tr>
      <w:tr w:rsidR="009C7506" w14:paraId="5D0EFBCF" w14:textId="77777777">
        <w:trPr>
          <w:trHeight w:val="946"/>
        </w:trPr>
        <w:tc>
          <w:tcPr>
            <w:tcW w:w="2197" w:type="dxa"/>
            <w:tcBorders>
              <w:top w:val="single" w:sz="4" w:space="0" w:color="000000"/>
              <w:left w:val="nil"/>
              <w:bottom w:val="single" w:sz="4" w:space="0" w:color="000000"/>
              <w:right w:val="single" w:sz="4" w:space="0" w:color="000000"/>
            </w:tcBorders>
            <w:vAlign w:val="center"/>
          </w:tcPr>
          <w:p w14:paraId="4EB9D78B" w14:textId="77777777" w:rsidR="009C7506" w:rsidRDefault="008B3AB3">
            <w:pPr>
              <w:spacing w:after="192" w:line="259" w:lineRule="auto"/>
              <w:ind w:left="770" w:right="0" w:firstLine="0"/>
              <w:jc w:val="left"/>
            </w:pPr>
            <w:r>
              <w:t xml:space="preserve">4. Interest </w:t>
            </w:r>
          </w:p>
          <w:p w14:paraId="4A8EC92F" w14:textId="77777777" w:rsidR="009C7506" w:rsidRDefault="008B3AB3">
            <w:pPr>
              <w:spacing w:after="0" w:line="259" w:lineRule="auto"/>
              <w:ind w:left="0" w:right="40" w:firstLine="0"/>
              <w:jc w:val="center"/>
            </w:pPr>
            <w:r>
              <w:t xml:space="preserve">protection multiple </w:t>
            </w:r>
          </w:p>
        </w:tc>
        <w:tc>
          <w:tcPr>
            <w:tcW w:w="2736" w:type="dxa"/>
            <w:tcBorders>
              <w:top w:val="single" w:sz="4" w:space="0" w:color="000000"/>
              <w:left w:val="single" w:sz="4" w:space="0" w:color="000000"/>
              <w:bottom w:val="single" w:sz="4" w:space="0" w:color="000000"/>
              <w:right w:val="single" w:sz="4" w:space="0" w:color="000000"/>
            </w:tcBorders>
            <w:vAlign w:val="center"/>
          </w:tcPr>
          <w:p w14:paraId="62C8FA2C" w14:textId="77777777" w:rsidR="009C7506" w:rsidRDefault="008B3AB3">
            <w:pPr>
              <w:spacing w:after="192" w:line="259" w:lineRule="auto"/>
              <w:ind w:left="17" w:right="0" w:firstLine="0"/>
              <w:jc w:val="left"/>
            </w:pPr>
            <w:r>
              <w:t xml:space="preserve">Earnings before interest and </w:t>
            </w:r>
          </w:p>
          <w:p w14:paraId="53324B9D" w14:textId="77777777" w:rsidR="009C7506" w:rsidRDefault="008B3AB3">
            <w:pPr>
              <w:spacing w:after="0" w:line="259" w:lineRule="auto"/>
              <w:ind w:left="0" w:right="55" w:firstLine="0"/>
              <w:jc w:val="center"/>
            </w:pPr>
            <w:r>
              <w:t xml:space="preserve">interest charges </w:t>
            </w:r>
          </w:p>
        </w:tc>
        <w:tc>
          <w:tcPr>
            <w:tcW w:w="1813" w:type="dxa"/>
            <w:tcBorders>
              <w:top w:val="single" w:sz="4" w:space="0" w:color="000000"/>
              <w:left w:val="single" w:sz="4" w:space="0" w:color="000000"/>
              <w:bottom w:val="single" w:sz="4" w:space="0" w:color="000000"/>
              <w:right w:val="single" w:sz="4" w:space="0" w:color="000000"/>
            </w:tcBorders>
            <w:vAlign w:val="center"/>
          </w:tcPr>
          <w:p w14:paraId="4B8BB9E0" w14:textId="77777777" w:rsidR="009C7506" w:rsidRDefault="008B3AB3">
            <w:pPr>
              <w:spacing w:after="0" w:line="259" w:lineRule="auto"/>
              <w:ind w:left="0"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4A66992C" w14:textId="77777777" w:rsidR="009C7506" w:rsidRDefault="008B3AB3">
            <w:pPr>
              <w:spacing w:after="0" w:line="259" w:lineRule="auto"/>
              <w:ind w:left="0" w:right="55" w:firstLine="0"/>
              <w:jc w:val="center"/>
            </w:pPr>
            <w:r>
              <w:t xml:space="preserve">+ </w:t>
            </w:r>
          </w:p>
        </w:tc>
      </w:tr>
      <w:tr w:rsidR="009C7506" w14:paraId="7A8ACC25" w14:textId="77777777">
        <w:trPr>
          <w:trHeight w:val="948"/>
        </w:trPr>
        <w:tc>
          <w:tcPr>
            <w:tcW w:w="2197" w:type="dxa"/>
            <w:tcBorders>
              <w:top w:val="single" w:sz="4" w:space="0" w:color="000000"/>
              <w:left w:val="nil"/>
              <w:bottom w:val="single" w:sz="4" w:space="0" w:color="000000"/>
              <w:right w:val="single" w:sz="4" w:space="0" w:color="000000"/>
            </w:tcBorders>
            <w:vAlign w:val="center"/>
          </w:tcPr>
          <w:p w14:paraId="22DF1156" w14:textId="77777777" w:rsidR="009C7506" w:rsidRDefault="008B3AB3">
            <w:pPr>
              <w:spacing w:after="0" w:line="259" w:lineRule="auto"/>
              <w:ind w:left="717" w:right="0" w:hanging="55"/>
              <w:jc w:val="left"/>
            </w:pPr>
            <w:r>
              <w:t xml:space="preserve">5. Return on equity </w:t>
            </w:r>
          </w:p>
        </w:tc>
        <w:tc>
          <w:tcPr>
            <w:tcW w:w="2736" w:type="dxa"/>
            <w:tcBorders>
              <w:top w:val="single" w:sz="4" w:space="0" w:color="000000"/>
              <w:left w:val="single" w:sz="4" w:space="0" w:color="000000"/>
              <w:bottom w:val="single" w:sz="4" w:space="0" w:color="000000"/>
              <w:right w:val="single" w:sz="4" w:space="0" w:color="000000"/>
            </w:tcBorders>
            <w:vAlign w:val="center"/>
          </w:tcPr>
          <w:p w14:paraId="62A8E19D" w14:textId="77777777" w:rsidR="009C7506" w:rsidRDefault="008B3AB3">
            <w:pPr>
              <w:spacing w:after="192" w:line="259" w:lineRule="auto"/>
              <w:ind w:left="0" w:right="57" w:firstLine="0"/>
              <w:jc w:val="center"/>
            </w:pPr>
            <w:r>
              <w:t xml:space="preserve">Net profit/owner's equity * </w:t>
            </w:r>
          </w:p>
          <w:p w14:paraId="03E427EB" w14:textId="77777777" w:rsidR="009C7506" w:rsidRDefault="008B3AB3">
            <w:pPr>
              <w:spacing w:after="0" w:line="259" w:lineRule="auto"/>
              <w:ind w:left="0" w:right="51" w:firstLine="0"/>
              <w:jc w:val="center"/>
            </w:pPr>
            <w:r>
              <w:t xml:space="preserve">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62DC1AB7" w14:textId="77777777" w:rsidR="009C7506" w:rsidRDefault="008B3AB3">
            <w:pPr>
              <w:spacing w:after="0" w:line="259" w:lineRule="auto"/>
              <w:ind w:left="0"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30F9CF19" w14:textId="77777777" w:rsidR="009C7506" w:rsidRDefault="008B3AB3">
            <w:pPr>
              <w:spacing w:after="0" w:line="259" w:lineRule="auto"/>
              <w:ind w:left="0" w:right="55" w:firstLine="0"/>
              <w:jc w:val="center"/>
            </w:pPr>
            <w:r>
              <w:t xml:space="preserve">+ </w:t>
            </w:r>
          </w:p>
        </w:tc>
      </w:tr>
      <w:tr w:rsidR="009C7506" w14:paraId="628BCA1F" w14:textId="77777777">
        <w:trPr>
          <w:trHeight w:val="946"/>
        </w:trPr>
        <w:tc>
          <w:tcPr>
            <w:tcW w:w="2197" w:type="dxa"/>
            <w:tcBorders>
              <w:top w:val="single" w:sz="4" w:space="0" w:color="000000"/>
              <w:left w:val="nil"/>
              <w:bottom w:val="single" w:sz="4" w:space="0" w:color="000000"/>
              <w:right w:val="single" w:sz="4" w:space="0" w:color="000000"/>
            </w:tcBorders>
            <w:vAlign w:val="center"/>
          </w:tcPr>
          <w:p w14:paraId="39C68E05" w14:textId="77777777" w:rsidR="009C7506" w:rsidRDefault="008B3AB3">
            <w:pPr>
              <w:spacing w:after="0" w:line="259" w:lineRule="auto"/>
              <w:ind w:left="686" w:right="0" w:hanging="283"/>
              <w:jc w:val="left"/>
            </w:pPr>
            <w:r>
              <w:t xml:space="preserve">6. Total return on assets </w:t>
            </w:r>
          </w:p>
        </w:tc>
        <w:tc>
          <w:tcPr>
            <w:tcW w:w="2736" w:type="dxa"/>
            <w:tcBorders>
              <w:top w:val="single" w:sz="4" w:space="0" w:color="000000"/>
              <w:left w:val="single" w:sz="4" w:space="0" w:color="000000"/>
              <w:bottom w:val="single" w:sz="4" w:space="0" w:color="000000"/>
              <w:right w:val="single" w:sz="4" w:space="0" w:color="000000"/>
            </w:tcBorders>
            <w:vAlign w:val="center"/>
          </w:tcPr>
          <w:p w14:paraId="114322EC" w14:textId="77777777" w:rsidR="009C7506" w:rsidRDefault="008B3AB3">
            <w:pPr>
              <w:spacing w:after="192" w:line="259" w:lineRule="auto"/>
              <w:ind w:left="0" w:right="106" w:firstLine="0"/>
              <w:jc w:val="center"/>
            </w:pPr>
            <w:r>
              <w:t xml:space="preserve">Net profit/total assets * </w:t>
            </w:r>
          </w:p>
          <w:p w14:paraId="579F67B0" w14:textId="77777777" w:rsidR="009C7506" w:rsidRDefault="008B3AB3">
            <w:pPr>
              <w:spacing w:after="0" w:line="259" w:lineRule="auto"/>
              <w:ind w:left="0" w:right="103" w:firstLine="0"/>
              <w:jc w:val="center"/>
            </w:pPr>
            <w:r>
              <w:t xml:space="preserve">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1959AE5F" w14:textId="77777777" w:rsidR="009C7506" w:rsidRDefault="008B3AB3">
            <w:pPr>
              <w:spacing w:after="0" w:line="259" w:lineRule="auto"/>
              <w:ind w:left="0" w:right="106"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2083276A" w14:textId="77777777" w:rsidR="009C7506" w:rsidRDefault="008B3AB3">
            <w:pPr>
              <w:spacing w:after="0" w:line="259" w:lineRule="auto"/>
              <w:ind w:left="0" w:right="107" w:firstLine="0"/>
              <w:jc w:val="center"/>
            </w:pPr>
            <w:r>
              <w:t xml:space="preserve">+ </w:t>
            </w:r>
          </w:p>
        </w:tc>
      </w:tr>
      <w:tr w:rsidR="009C7506" w14:paraId="627A90E3" w14:textId="77777777">
        <w:trPr>
          <w:trHeight w:val="946"/>
        </w:trPr>
        <w:tc>
          <w:tcPr>
            <w:tcW w:w="2197" w:type="dxa"/>
            <w:tcBorders>
              <w:top w:val="single" w:sz="4" w:space="0" w:color="000000"/>
              <w:left w:val="nil"/>
              <w:bottom w:val="single" w:sz="4" w:space="0" w:color="000000"/>
              <w:right w:val="single" w:sz="4" w:space="0" w:color="000000"/>
            </w:tcBorders>
            <w:vAlign w:val="center"/>
          </w:tcPr>
          <w:p w14:paraId="27D60571" w14:textId="77777777" w:rsidR="009C7506" w:rsidRDefault="008B3AB3">
            <w:pPr>
              <w:spacing w:after="0" w:line="259" w:lineRule="auto"/>
              <w:ind w:left="379" w:right="0" w:firstLine="166"/>
              <w:jc w:val="left"/>
            </w:pPr>
            <w:r>
              <w:t xml:space="preserve">7. Total assets turnover rate </w:t>
            </w:r>
          </w:p>
        </w:tc>
        <w:tc>
          <w:tcPr>
            <w:tcW w:w="2736" w:type="dxa"/>
            <w:tcBorders>
              <w:top w:val="single" w:sz="4" w:space="0" w:color="000000"/>
              <w:left w:val="single" w:sz="4" w:space="0" w:color="000000"/>
              <w:bottom w:val="single" w:sz="4" w:space="0" w:color="000000"/>
              <w:right w:val="single" w:sz="4" w:space="0" w:color="000000"/>
            </w:tcBorders>
            <w:vAlign w:val="center"/>
          </w:tcPr>
          <w:p w14:paraId="589B9565" w14:textId="77777777" w:rsidR="009C7506" w:rsidRDefault="008B3AB3">
            <w:pPr>
              <w:spacing w:after="0" w:line="259" w:lineRule="auto"/>
              <w:ind w:left="0" w:right="0" w:firstLine="0"/>
              <w:jc w:val="center"/>
            </w:pPr>
            <w:r>
              <w:t xml:space="preserve">Operating income/total assets * 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63BF1942" w14:textId="77777777" w:rsidR="009C7506" w:rsidRDefault="008B3AB3">
            <w:pPr>
              <w:spacing w:after="0" w:line="259" w:lineRule="auto"/>
              <w:ind w:left="0" w:right="106"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3538E373" w14:textId="77777777" w:rsidR="009C7506" w:rsidRDefault="008B3AB3">
            <w:pPr>
              <w:spacing w:after="0" w:line="259" w:lineRule="auto"/>
              <w:ind w:left="0" w:right="107" w:firstLine="0"/>
              <w:jc w:val="center"/>
            </w:pPr>
            <w:r>
              <w:t xml:space="preserve">+ </w:t>
            </w:r>
          </w:p>
        </w:tc>
      </w:tr>
      <w:tr w:rsidR="009C7506" w14:paraId="583D10F2" w14:textId="77777777">
        <w:trPr>
          <w:trHeight w:val="946"/>
        </w:trPr>
        <w:tc>
          <w:tcPr>
            <w:tcW w:w="2197" w:type="dxa"/>
            <w:tcBorders>
              <w:top w:val="single" w:sz="4" w:space="0" w:color="000000"/>
              <w:left w:val="nil"/>
              <w:bottom w:val="single" w:sz="4" w:space="0" w:color="000000"/>
              <w:right w:val="single" w:sz="4" w:space="0" w:color="000000"/>
            </w:tcBorders>
            <w:vAlign w:val="center"/>
          </w:tcPr>
          <w:p w14:paraId="131533B4" w14:textId="77777777" w:rsidR="009C7506" w:rsidRDefault="008B3AB3">
            <w:pPr>
              <w:spacing w:after="0" w:line="259" w:lineRule="auto"/>
              <w:ind w:left="439" w:right="0" w:firstLine="182"/>
              <w:jc w:val="left"/>
            </w:pPr>
            <w:r>
              <w:lastRenderedPageBreak/>
              <w:t xml:space="preserve">8. Net profit growth rate </w:t>
            </w:r>
          </w:p>
        </w:tc>
        <w:tc>
          <w:tcPr>
            <w:tcW w:w="2736" w:type="dxa"/>
            <w:tcBorders>
              <w:top w:val="single" w:sz="4" w:space="0" w:color="000000"/>
              <w:left w:val="single" w:sz="4" w:space="0" w:color="000000"/>
              <w:bottom w:val="single" w:sz="4" w:space="0" w:color="000000"/>
              <w:right w:val="single" w:sz="4" w:space="0" w:color="000000"/>
            </w:tcBorders>
            <w:vAlign w:val="center"/>
          </w:tcPr>
          <w:p w14:paraId="2F6D2EB3" w14:textId="77777777" w:rsidR="009C7506" w:rsidRDefault="008B3AB3">
            <w:pPr>
              <w:spacing w:after="0" w:line="259" w:lineRule="auto"/>
              <w:ind w:left="0" w:right="0" w:firstLine="0"/>
              <w:jc w:val="center"/>
            </w:pPr>
            <w:r>
              <w:t xml:space="preserve">Current net profit increase/net profit * 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0AA5463F" w14:textId="77777777" w:rsidR="009C7506" w:rsidRDefault="008B3AB3">
            <w:pPr>
              <w:spacing w:after="0" w:line="259" w:lineRule="auto"/>
              <w:ind w:left="0" w:right="106"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0184A1BA" w14:textId="77777777" w:rsidR="009C7506" w:rsidRDefault="008B3AB3">
            <w:pPr>
              <w:spacing w:after="0" w:line="259" w:lineRule="auto"/>
              <w:ind w:left="0" w:right="107" w:firstLine="0"/>
              <w:jc w:val="center"/>
            </w:pPr>
            <w:r>
              <w:t xml:space="preserve">+ </w:t>
            </w:r>
          </w:p>
        </w:tc>
      </w:tr>
      <w:tr w:rsidR="009C7506" w14:paraId="373BB204" w14:textId="77777777">
        <w:trPr>
          <w:trHeight w:val="949"/>
        </w:trPr>
        <w:tc>
          <w:tcPr>
            <w:tcW w:w="2197" w:type="dxa"/>
            <w:tcBorders>
              <w:top w:val="single" w:sz="4" w:space="0" w:color="000000"/>
              <w:left w:val="nil"/>
              <w:bottom w:val="single" w:sz="4" w:space="0" w:color="000000"/>
              <w:right w:val="single" w:sz="4" w:space="0" w:color="000000"/>
            </w:tcBorders>
            <w:vAlign w:val="center"/>
          </w:tcPr>
          <w:p w14:paraId="39BFEC7B" w14:textId="77777777" w:rsidR="009C7506" w:rsidRDefault="008B3AB3">
            <w:pPr>
              <w:spacing w:after="0" w:line="259" w:lineRule="auto"/>
              <w:ind w:left="526" w:right="0" w:hanging="120"/>
              <w:jc w:val="left"/>
            </w:pPr>
            <w:r>
              <w:t xml:space="preserve">9. Growth rate of net assets </w:t>
            </w:r>
          </w:p>
        </w:tc>
        <w:tc>
          <w:tcPr>
            <w:tcW w:w="2736" w:type="dxa"/>
            <w:tcBorders>
              <w:top w:val="single" w:sz="4" w:space="0" w:color="000000"/>
              <w:left w:val="single" w:sz="4" w:space="0" w:color="000000"/>
              <w:bottom w:val="single" w:sz="4" w:space="0" w:color="000000"/>
              <w:right w:val="single" w:sz="4" w:space="0" w:color="000000"/>
            </w:tcBorders>
            <w:vAlign w:val="center"/>
          </w:tcPr>
          <w:p w14:paraId="12E00473" w14:textId="77777777" w:rsidR="009C7506" w:rsidRDefault="008B3AB3">
            <w:pPr>
              <w:spacing w:after="0" w:line="259" w:lineRule="auto"/>
              <w:ind w:left="0" w:right="0" w:firstLine="0"/>
              <w:jc w:val="center"/>
            </w:pPr>
            <w:r>
              <w:t xml:space="preserve">Current net assets growth/net profit * 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37177A7B" w14:textId="77777777" w:rsidR="009C7506" w:rsidRDefault="008B3AB3">
            <w:pPr>
              <w:spacing w:after="0" w:line="259" w:lineRule="auto"/>
              <w:ind w:left="0" w:right="106"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1AC29E32" w14:textId="77777777" w:rsidR="009C7506" w:rsidRDefault="008B3AB3">
            <w:pPr>
              <w:spacing w:after="0" w:line="259" w:lineRule="auto"/>
              <w:ind w:left="0" w:right="107" w:firstLine="0"/>
              <w:jc w:val="center"/>
            </w:pPr>
            <w:r>
              <w:t xml:space="preserve">+ </w:t>
            </w:r>
          </w:p>
        </w:tc>
      </w:tr>
      <w:tr w:rsidR="009C7506" w14:paraId="30964DC8" w14:textId="77777777">
        <w:trPr>
          <w:trHeight w:val="1414"/>
        </w:trPr>
        <w:tc>
          <w:tcPr>
            <w:tcW w:w="2197" w:type="dxa"/>
            <w:tcBorders>
              <w:top w:val="single" w:sz="4" w:space="0" w:color="000000"/>
              <w:left w:val="nil"/>
              <w:bottom w:val="single" w:sz="4" w:space="0" w:color="000000"/>
              <w:right w:val="single" w:sz="4" w:space="0" w:color="000000"/>
            </w:tcBorders>
            <w:vAlign w:val="center"/>
          </w:tcPr>
          <w:p w14:paraId="082912BB" w14:textId="77777777" w:rsidR="009C7506" w:rsidRDefault="008B3AB3">
            <w:pPr>
              <w:spacing w:after="0" w:line="259" w:lineRule="auto"/>
              <w:ind w:left="552" w:right="0" w:hanging="29"/>
              <w:jc w:val="left"/>
            </w:pPr>
            <w:r>
              <w:t xml:space="preserve">10. Short-term solvency </w:t>
            </w:r>
          </w:p>
        </w:tc>
        <w:tc>
          <w:tcPr>
            <w:tcW w:w="2736" w:type="dxa"/>
            <w:tcBorders>
              <w:top w:val="single" w:sz="4" w:space="0" w:color="000000"/>
              <w:left w:val="single" w:sz="4" w:space="0" w:color="000000"/>
              <w:bottom w:val="single" w:sz="4" w:space="0" w:color="000000"/>
              <w:right w:val="single" w:sz="4" w:space="0" w:color="000000"/>
            </w:tcBorders>
            <w:vAlign w:val="center"/>
          </w:tcPr>
          <w:p w14:paraId="2AC04A28" w14:textId="77777777" w:rsidR="009C7506" w:rsidRDefault="008B3AB3">
            <w:pPr>
              <w:spacing w:after="0" w:line="439" w:lineRule="auto"/>
              <w:ind w:left="0" w:right="0" w:firstLine="0"/>
              <w:jc w:val="center"/>
            </w:pPr>
            <w:r>
              <w:t xml:space="preserve">Net operating cash flow net/current liabilities * </w:t>
            </w:r>
          </w:p>
          <w:p w14:paraId="2DE9992E" w14:textId="77777777" w:rsidR="009C7506" w:rsidRDefault="008B3AB3">
            <w:pPr>
              <w:spacing w:after="0" w:line="259" w:lineRule="auto"/>
              <w:ind w:left="0" w:right="103" w:firstLine="0"/>
              <w:jc w:val="center"/>
            </w:pPr>
            <w:r>
              <w:t xml:space="preserve">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75A63979" w14:textId="77777777" w:rsidR="009C7506" w:rsidRDefault="008B3AB3">
            <w:pPr>
              <w:spacing w:after="0" w:line="259" w:lineRule="auto"/>
              <w:ind w:left="0" w:right="106"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04F7C6E7" w14:textId="77777777" w:rsidR="009C7506" w:rsidRDefault="008B3AB3">
            <w:pPr>
              <w:spacing w:after="0" w:line="259" w:lineRule="auto"/>
              <w:ind w:left="0" w:right="107" w:firstLine="0"/>
              <w:jc w:val="center"/>
            </w:pPr>
            <w:r>
              <w:t xml:space="preserve">+ </w:t>
            </w:r>
          </w:p>
        </w:tc>
      </w:tr>
      <w:tr w:rsidR="009C7506" w14:paraId="375AFF8C" w14:textId="77777777">
        <w:trPr>
          <w:trHeight w:val="946"/>
        </w:trPr>
        <w:tc>
          <w:tcPr>
            <w:tcW w:w="2197" w:type="dxa"/>
            <w:tcBorders>
              <w:top w:val="single" w:sz="4" w:space="0" w:color="000000"/>
              <w:left w:val="nil"/>
              <w:bottom w:val="single" w:sz="4" w:space="0" w:color="000000"/>
              <w:right w:val="single" w:sz="4" w:space="0" w:color="000000"/>
            </w:tcBorders>
            <w:vAlign w:val="center"/>
          </w:tcPr>
          <w:p w14:paraId="1132BE89" w14:textId="77777777" w:rsidR="009C7506" w:rsidRDefault="008B3AB3">
            <w:pPr>
              <w:spacing w:after="0" w:line="259" w:lineRule="auto"/>
              <w:ind w:left="552" w:right="0" w:hanging="19"/>
              <w:jc w:val="left"/>
            </w:pPr>
            <w:r>
              <w:t xml:space="preserve">11. Long-term solvency </w:t>
            </w:r>
          </w:p>
        </w:tc>
        <w:tc>
          <w:tcPr>
            <w:tcW w:w="2736" w:type="dxa"/>
            <w:tcBorders>
              <w:top w:val="single" w:sz="4" w:space="0" w:color="000000"/>
              <w:left w:val="single" w:sz="4" w:space="0" w:color="000000"/>
              <w:bottom w:val="single" w:sz="4" w:space="0" w:color="000000"/>
              <w:right w:val="single" w:sz="4" w:space="0" w:color="000000"/>
            </w:tcBorders>
            <w:vAlign w:val="center"/>
          </w:tcPr>
          <w:p w14:paraId="62C44F2E" w14:textId="77777777" w:rsidR="009C7506" w:rsidRDefault="008B3AB3">
            <w:pPr>
              <w:spacing w:after="0" w:line="259" w:lineRule="auto"/>
              <w:ind w:left="0" w:right="4" w:firstLine="0"/>
              <w:jc w:val="center"/>
            </w:pPr>
            <w:r>
              <w:t xml:space="preserve">Operating cash flow net/total liabilities * 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201E8782" w14:textId="77777777" w:rsidR="009C7506" w:rsidRDefault="008B3AB3">
            <w:pPr>
              <w:spacing w:after="0" w:line="259" w:lineRule="auto"/>
              <w:ind w:left="0" w:right="106"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4E413A00" w14:textId="77777777" w:rsidR="009C7506" w:rsidRDefault="008B3AB3">
            <w:pPr>
              <w:spacing w:after="0" w:line="259" w:lineRule="auto"/>
              <w:ind w:left="0" w:right="107" w:firstLine="0"/>
              <w:jc w:val="center"/>
            </w:pPr>
            <w:r>
              <w:t xml:space="preserve">+ </w:t>
            </w:r>
          </w:p>
        </w:tc>
      </w:tr>
      <w:tr w:rsidR="009C7506" w14:paraId="25EAEB72" w14:textId="77777777">
        <w:trPr>
          <w:trHeight w:val="946"/>
        </w:trPr>
        <w:tc>
          <w:tcPr>
            <w:tcW w:w="2197" w:type="dxa"/>
            <w:tcBorders>
              <w:top w:val="single" w:sz="4" w:space="0" w:color="000000"/>
              <w:left w:val="nil"/>
              <w:bottom w:val="single" w:sz="4" w:space="0" w:color="000000"/>
              <w:right w:val="single" w:sz="4" w:space="0" w:color="000000"/>
            </w:tcBorders>
            <w:vAlign w:val="center"/>
          </w:tcPr>
          <w:p w14:paraId="390A66C4" w14:textId="77777777" w:rsidR="009C7506" w:rsidRDefault="008B3AB3">
            <w:pPr>
              <w:spacing w:after="0" w:line="259" w:lineRule="auto"/>
              <w:ind w:left="741" w:right="0" w:hanging="199"/>
              <w:jc w:val="left"/>
            </w:pPr>
            <w:r>
              <w:t xml:space="preserve">12. Sales cash ratio </w:t>
            </w:r>
          </w:p>
        </w:tc>
        <w:tc>
          <w:tcPr>
            <w:tcW w:w="2736" w:type="dxa"/>
            <w:tcBorders>
              <w:top w:val="single" w:sz="4" w:space="0" w:color="000000"/>
              <w:left w:val="single" w:sz="4" w:space="0" w:color="000000"/>
              <w:bottom w:val="single" w:sz="4" w:space="0" w:color="000000"/>
              <w:right w:val="single" w:sz="4" w:space="0" w:color="000000"/>
            </w:tcBorders>
            <w:vAlign w:val="center"/>
          </w:tcPr>
          <w:p w14:paraId="5F153CED" w14:textId="77777777" w:rsidR="009C7506" w:rsidRDefault="008B3AB3">
            <w:pPr>
              <w:spacing w:after="0" w:line="259" w:lineRule="auto"/>
              <w:ind w:left="0" w:right="0" w:firstLine="0"/>
              <w:jc w:val="center"/>
            </w:pPr>
            <w:r>
              <w:t xml:space="preserve">Operating cash net income/sales * 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4CCF3420" w14:textId="77777777" w:rsidR="009C7506" w:rsidRDefault="008B3AB3">
            <w:pPr>
              <w:spacing w:after="0" w:line="259" w:lineRule="auto"/>
              <w:ind w:left="0" w:right="106"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440F9C45" w14:textId="77777777" w:rsidR="009C7506" w:rsidRDefault="008B3AB3">
            <w:pPr>
              <w:spacing w:after="0" w:line="259" w:lineRule="auto"/>
              <w:ind w:left="0" w:right="107" w:firstLine="0"/>
              <w:jc w:val="center"/>
            </w:pPr>
            <w:r>
              <w:t xml:space="preserve">+ </w:t>
            </w:r>
          </w:p>
        </w:tc>
      </w:tr>
      <w:tr w:rsidR="009C7506" w14:paraId="5D394B60" w14:textId="77777777">
        <w:trPr>
          <w:trHeight w:val="946"/>
        </w:trPr>
        <w:tc>
          <w:tcPr>
            <w:tcW w:w="2197" w:type="dxa"/>
            <w:tcBorders>
              <w:top w:val="single" w:sz="4" w:space="0" w:color="000000"/>
              <w:left w:val="nil"/>
              <w:bottom w:val="single" w:sz="4" w:space="0" w:color="000000"/>
              <w:right w:val="single" w:sz="4" w:space="0" w:color="000000"/>
            </w:tcBorders>
            <w:vAlign w:val="center"/>
          </w:tcPr>
          <w:p w14:paraId="405728DD" w14:textId="77777777" w:rsidR="009C7506" w:rsidRDefault="008B3AB3">
            <w:pPr>
              <w:spacing w:after="0" w:line="259" w:lineRule="auto"/>
              <w:ind w:left="0" w:right="117" w:firstLine="0"/>
              <w:jc w:val="right"/>
            </w:pPr>
            <w:r>
              <w:t xml:space="preserve">13. Profitability </w:t>
            </w:r>
          </w:p>
        </w:tc>
        <w:tc>
          <w:tcPr>
            <w:tcW w:w="2736" w:type="dxa"/>
            <w:tcBorders>
              <w:top w:val="single" w:sz="4" w:space="0" w:color="000000"/>
              <w:left w:val="single" w:sz="4" w:space="0" w:color="000000"/>
              <w:bottom w:val="single" w:sz="4" w:space="0" w:color="000000"/>
              <w:right w:val="single" w:sz="4" w:space="0" w:color="000000"/>
            </w:tcBorders>
            <w:vAlign w:val="center"/>
          </w:tcPr>
          <w:p w14:paraId="6AC785D1" w14:textId="77777777" w:rsidR="009C7506" w:rsidRDefault="008B3AB3">
            <w:pPr>
              <w:spacing w:after="0" w:line="259" w:lineRule="auto"/>
              <w:ind w:left="0" w:right="0" w:firstLine="0"/>
              <w:jc w:val="center"/>
            </w:pPr>
            <w:r>
              <w:t xml:space="preserve">Net cash flow/net assets of operating activities * 100% </w:t>
            </w:r>
          </w:p>
        </w:tc>
        <w:tc>
          <w:tcPr>
            <w:tcW w:w="1813" w:type="dxa"/>
            <w:tcBorders>
              <w:top w:val="single" w:sz="4" w:space="0" w:color="000000"/>
              <w:left w:val="single" w:sz="4" w:space="0" w:color="000000"/>
              <w:bottom w:val="single" w:sz="4" w:space="0" w:color="000000"/>
              <w:right w:val="single" w:sz="4" w:space="0" w:color="000000"/>
            </w:tcBorders>
            <w:vAlign w:val="center"/>
          </w:tcPr>
          <w:p w14:paraId="03659379" w14:textId="77777777" w:rsidR="009C7506" w:rsidRDefault="008B3AB3">
            <w:pPr>
              <w:spacing w:after="0" w:line="259" w:lineRule="auto"/>
              <w:ind w:left="0" w:right="106" w:firstLine="0"/>
              <w:jc w:val="center"/>
            </w:pPr>
            <w:r>
              <w:t xml:space="preserve">- </w:t>
            </w:r>
          </w:p>
        </w:tc>
        <w:tc>
          <w:tcPr>
            <w:tcW w:w="1793" w:type="dxa"/>
            <w:tcBorders>
              <w:top w:val="single" w:sz="4" w:space="0" w:color="000000"/>
              <w:left w:val="single" w:sz="4" w:space="0" w:color="000000"/>
              <w:bottom w:val="single" w:sz="4" w:space="0" w:color="000000"/>
              <w:right w:val="nil"/>
            </w:tcBorders>
            <w:vAlign w:val="center"/>
          </w:tcPr>
          <w:p w14:paraId="6AD735D6" w14:textId="77777777" w:rsidR="009C7506" w:rsidRDefault="008B3AB3">
            <w:pPr>
              <w:spacing w:after="0" w:line="259" w:lineRule="auto"/>
              <w:ind w:left="0" w:right="107" w:firstLine="0"/>
              <w:jc w:val="center"/>
            </w:pPr>
            <w:r>
              <w:t xml:space="preserve">+ </w:t>
            </w:r>
          </w:p>
        </w:tc>
      </w:tr>
    </w:tbl>
    <w:p w14:paraId="7A0D8CCB" w14:textId="77777777" w:rsidR="009C7506" w:rsidRDefault="008B3AB3">
      <w:pPr>
        <w:spacing w:after="36" w:line="259" w:lineRule="auto"/>
        <w:ind w:left="0" w:right="0" w:firstLine="0"/>
        <w:jc w:val="left"/>
      </w:pPr>
      <w:r>
        <w:t xml:space="preserve"> </w:t>
      </w:r>
    </w:p>
    <w:p w14:paraId="74DF4FAA" w14:textId="77777777" w:rsidR="009C7506" w:rsidRDefault="008B3AB3">
      <w:pPr>
        <w:ind w:left="21" w:right="45"/>
      </w:pPr>
      <w:r>
        <w:t>Through the analysis of PCA, we obtain six principal component factors. Factor Y1 is the short-term solvency factor; Y2 is the long-term profit factor; Y3 is the short-</w:t>
      </w:r>
      <w:r>
        <w:t xml:space="preserve">term profit factor; Y4 is the liquidity capacity; Y5 is the profit growth ability; Y6 is the operation factor. </w:t>
      </w:r>
    </w:p>
    <w:p w14:paraId="360019C8" w14:textId="77777777" w:rsidR="009C7506" w:rsidRDefault="008B3AB3">
      <w:pPr>
        <w:spacing w:after="48" w:line="259" w:lineRule="auto"/>
        <w:ind w:left="0" w:right="0" w:firstLine="0"/>
        <w:jc w:val="left"/>
      </w:pPr>
      <w:r>
        <w:t xml:space="preserve"> </w:t>
      </w:r>
    </w:p>
    <w:p w14:paraId="3CE9CC39" w14:textId="77777777" w:rsidR="009C7506" w:rsidRDefault="008B3AB3">
      <w:pPr>
        <w:ind w:left="21" w:right="45"/>
      </w:pPr>
      <w:r>
        <w:t>In addition, in order to control the impacts of the industry and the annual effect, we set</w:t>
      </w:r>
      <w:r>
        <w:rPr>
          <w:rFonts w:ascii="Calibri" w:eastAsia="Calibri" w:hAnsi="Calibri" w:cs="Calibri"/>
        </w:rPr>
        <w:t xml:space="preserve"> </w:t>
      </w:r>
      <w:r>
        <w:t xml:space="preserve">dummy variables of the industry and the annuals. </w:t>
      </w:r>
    </w:p>
    <w:p w14:paraId="704C73E1" w14:textId="77777777" w:rsidR="009C7506" w:rsidRDefault="008B3AB3">
      <w:pPr>
        <w:spacing w:after="41" w:line="259" w:lineRule="auto"/>
        <w:ind w:left="0" w:right="0" w:firstLine="0"/>
        <w:jc w:val="left"/>
      </w:pPr>
      <w:r>
        <w:t xml:space="preserve"> </w:t>
      </w:r>
    </w:p>
    <w:p w14:paraId="40068263" w14:textId="77777777" w:rsidR="009C7506" w:rsidRDefault="008B3AB3">
      <w:pPr>
        <w:pStyle w:val="Heading2"/>
        <w:ind w:left="-5" w:right="41"/>
      </w:pPr>
      <w:r>
        <w:t xml:space="preserve">4.4 Descriptive statistics </w:t>
      </w:r>
    </w:p>
    <w:p w14:paraId="54C4EF59" w14:textId="77777777" w:rsidR="009C7506" w:rsidRDefault="008B3AB3">
      <w:pPr>
        <w:spacing w:after="31" w:line="259" w:lineRule="auto"/>
        <w:ind w:left="0" w:right="0" w:firstLine="0"/>
        <w:jc w:val="left"/>
      </w:pPr>
      <w:r>
        <w:rPr>
          <w:b/>
        </w:rPr>
        <w:t xml:space="preserve"> </w:t>
      </w:r>
    </w:p>
    <w:p w14:paraId="221F0BF1" w14:textId="77777777" w:rsidR="009C7506" w:rsidRDefault="008B3AB3">
      <w:pPr>
        <w:ind w:left="21" w:right="45"/>
      </w:pPr>
      <w:r>
        <w:t xml:space="preserve">Table 4 and Table 5 report the descriptive statistics of the credit spreads, credit ratings, as well as the properties of the issuer and the leading </w:t>
      </w:r>
      <w:r>
        <w:t>underwriters, the local government economic indicators and the financial situations of the company. The statistics show that before the outbreak of default, the credit spreads were higher. This confirms that the default has not broken the investors' expect</w:t>
      </w:r>
      <w:r>
        <w:t xml:space="preserve">ations of "rigid payment". After the event of the default, the risk consciousness of the investors gradually increases and the credit spreads return to the essence of the credit risk premium. </w:t>
      </w:r>
    </w:p>
    <w:p w14:paraId="1C19D187" w14:textId="77777777" w:rsidR="009C7506" w:rsidRDefault="008B3AB3">
      <w:pPr>
        <w:spacing w:after="41" w:line="259" w:lineRule="auto"/>
        <w:ind w:left="0" w:right="0" w:firstLine="0"/>
        <w:jc w:val="left"/>
      </w:pPr>
      <w:r>
        <w:t xml:space="preserve"> </w:t>
      </w:r>
    </w:p>
    <w:p w14:paraId="2587EBA1" w14:textId="77777777" w:rsidR="009C7506" w:rsidRDefault="008B3AB3">
      <w:pPr>
        <w:pStyle w:val="Heading2"/>
        <w:spacing w:after="3"/>
        <w:ind w:right="59"/>
        <w:jc w:val="center"/>
      </w:pPr>
      <w:r>
        <w:t>Table 4 Descriptive statistics of credit spreads and main key</w:t>
      </w:r>
      <w:r>
        <w:t xml:space="preserve"> variables </w:t>
      </w:r>
    </w:p>
    <w:p w14:paraId="6A67532E" w14:textId="77777777" w:rsidR="009C7506" w:rsidRDefault="008B3AB3">
      <w:pPr>
        <w:spacing w:after="0" w:line="259" w:lineRule="auto"/>
        <w:ind w:left="0" w:right="4" w:firstLine="0"/>
        <w:jc w:val="center"/>
      </w:pPr>
      <w:r>
        <w:rPr>
          <w:b/>
        </w:rPr>
        <w:t xml:space="preserve"> </w:t>
      </w:r>
    </w:p>
    <w:tbl>
      <w:tblPr>
        <w:tblStyle w:val="TableGrid"/>
        <w:tblW w:w="8008" w:type="dxa"/>
        <w:tblInd w:w="149" w:type="dxa"/>
        <w:tblCellMar>
          <w:top w:w="141" w:type="dxa"/>
          <w:left w:w="108" w:type="dxa"/>
          <w:bottom w:w="0" w:type="dxa"/>
          <w:right w:w="50" w:type="dxa"/>
        </w:tblCellMar>
        <w:tblLook w:val="04A0" w:firstRow="1" w:lastRow="0" w:firstColumn="1" w:lastColumn="0" w:noHBand="0" w:noVBand="1"/>
      </w:tblPr>
      <w:tblGrid>
        <w:gridCol w:w="1385"/>
        <w:gridCol w:w="1335"/>
        <w:gridCol w:w="876"/>
        <w:gridCol w:w="1054"/>
        <w:gridCol w:w="1366"/>
        <w:gridCol w:w="995"/>
        <w:gridCol w:w="997"/>
      </w:tblGrid>
      <w:tr w:rsidR="009C7506" w14:paraId="72848C9F" w14:textId="77777777">
        <w:trPr>
          <w:trHeight w:val="946"/>
        </w:trPr>
        <w:tc>
          <w:tcPr>
            <w:tcW w:w="1385" w:type="dxa"/>
            <w:tcBorders>
              <w:top w:val="single" w:sz="4" w:space="0" w:color="000000"/>
              <w:left w:val="nil"/>
              <w:bottom w:val="single" w:sz="4" w:space="0" w:color="000000"/>
              <w:right w:val="single" w:sz="4" w:space="0" w:color="000000"/>
            </w:tcBorders>
            <w:vAlign w:val="center"/>
          </w:tcPr>
          <w:p w14:paraId="18EF07CB" w14:textId="77777777" w:rsidR="009C7506" w:rsidRDefault="008B3AB3">
            <w:pPr>
              <w:spacing w:after="192" w:line="259" w:lineRule="auto"/>
              <w:ind w:left="0" w:right="61" w:firstLine="0"/>
              <w:jc w:val="center"/>
            </w:pPr>
            <w:r>
              <w:t xml:space="preserve">Time  </w:t>
            </w:r>
          </w:p>
          <w:p w14:paraId="250AC8CB" w14:textId="77777777" w:rsidR="009C7506" w:rsidRDefault="008B3AB3">
            <w:pPr>
              <w:spacing w:after="0" w:line="259" w:lineRule="auto"/>
              <w:ind w:left="0" w:right="59" w:firstLine="0"/>
              <w:jc w:val="center"/>
            </w:pPr>
            <w:r>
              <w:t xml:space="preserve">interval </w:t>
            </w:r>
          </w:p>
        </w:tc>
        <w:tc>
          <w:tcPr>
            <w:tcW w:w="1335" w:type="dxa"/>
            <w:tcBorders>
              <w:top w:val="single" w:sz="4" w:space="0" w:color="000000"/>
              <w:left w:val="single" w:sz="4" w:space="0" w:color="000000"/>
              <w:bottom w:val="single" w:sz="4" w:space="0" w:color="000000"/>
              <w:right w:val="single" w:sz="4" w:space="0" w:color="000000"/>
            </w:tcBorders>
          </w:tcPr>
          <w:p w14:paraId="29C5E99E" w14:textId="77777777" w:rsidR="009C7506" w:rsidRDefault="008B3AB3">
            <w:pPr>
              <w:spacing w:after="0" w:line="259" w:lineRule="auto"/>
              <w:ind w:left="0" w:right="57" w:firstLine="0"/>
              <w:jc w:val="center"/>
            </w:pPr>
            <w:r>
              <w:t xml:space="preserve">Variable  </w:t>
            </w:r>
          </w:p>
        </w:tc>
        <w:tc>
          <w:tcPr>
            <w:tcW w:w="876" w:type="dxa"/>
            <w:tcBorders>
              <w:top w:val="single" w:sz="4" w:space="0" w:color="000000"/>
              <w:left w:val="single" w:sz="4" w:space="0" w:color="000000"/>
              <w:bottom w:val="single" w:sz="4" w:space="0" w:color="000000"/>
              <w:right w:val="single" w:sz="4" w:space="0" w:color="000000"/>
            </w:tcBorders>
            <w:vAlign w:val="center"/>
          </w:tcPr>
          <w:p w14:paraId="28A00C05" w14:textId="77777777" w:rsidR="009C7506" w:rsidRDefault="008B3AB3">
            <w:pPr>
              <w:spacing w:after="0" w:line="259" w:lineRule="auto"/>
              <w:ind w:left="0" w:right="0" w:firstLine="0"/>
              <w:jc w:val="center"/>
            </w:pPr>
            <w:r>
              <w:t xml:space="preserve">Sample volume </w:t>
            </w:r>
          </w:p>
        </w:tc>
        <w:tc>
          <w:tcPr>
            <w:tcW w:w="1054" w:type="dxa"/>
            <w:tcBorders>
              <w:top w:val="single" w:sz="4" w:space="0" w:color="000000"/>
              <w:left w:val="single" w:sz="4" w:space="0" w:color="000000"/>
              <w:bottom w:val="single" w:sz="4" w:space="0" w:color="000000"/>
              <w:right w:val="single" w:sz="4" w:space="0" w:color="000000"/>
            </w:tcBorders>
          </w:tcPr>
          <w:p w14:paraId="1EF9E972" w14:textId="77777777" w:rsidR="009C7506" w:rsidRDefault="008B3AB3">
            <w:pPr>
              <w:spacing w:after="0" w:line="259" w:lineRule="auto"/>
              <w:ind w:left="2" w:right="0" w:firstLine="0"/>
            </w:pPr>
            <w:r>
              <w:t xml:space="preserve">Mean(%) </w:t>
            </w:r>
          </w:p>
        </w:tc>
        <w:tc>
          <w:tcPr>
            <w:tcW w:w="1366" w:type="dxa"/>
            <w:tcBorders>
              <w:top w:val="single" w:sz="4" w:space="0" w:color="000000"/>
              <w:left w:val="single" w:sz="4" w:space="0" w:color="000000"/>
              <w:bottom w:val="single" w:sz="4" w:space="0" w:color="000000"/>
              <w:right w:val="single" w:sz="4" w:space="0" w:color="000000"/>
            </w:tcBorders>
            <w:vAlign w:val="center"/>
          </w:tcPr>
          <w:p w14:paraId="747D74C8" w14:textId="77777777" w:rsidR="009C7506" w:rsidRDefault="008B3AB3">
            <w:pPr>
              <w:spacing w:after="0" w:line="259" w:lineRule="auto"/>
              <w:ind w:left="0" w:right="0" w:firstLine="0"/>
              <w:jc w:val="center"/>
            </w:pPr>
            <w:r>
              <w:t xml:space="preserve">The standard deviation(%) </w:t>
            </w:r>
          </w:p>
        </w:tc>
        <w:tc>
          <w:tcPr>
            <w:tcW w:w="995" w:type="dxa"/>
            <w:tcBorders>
              <w:top w:val="single" w:sz="4" w:space="0" w:color="000000"/>
              <w:left w:val="single" w:sz="4" w:space="0" w:color="000000"/>
              <w:bottom w:val="single" w:sz="4" w:space="0" w:color="000000"/>
              <w:right w:val="single" w:sz="4" w:space="0" w:color="000000"/>
            </w:tcBorders>
            <w:vAlign w:val="center"/>
          </w:tcPr>
          <w:p w14:paraId="0BF6099B" w14:textId="77777777" w:rsidR="009C7506" w:rsidRDefault="008B3AB3">
            <w:pPr>
              <w:spacing w:after="192" w:line="259" w:lineRule="auto"/>
              <w:ind w:left="0" w:right="69" w:firstLine="0"/>
              <w:jc w:val="center"/>
            </w:pPr>
            <w:r>
              <w:t xml:space="preserve">Min  </w:t>
            </w:r>
          </w:p>
          <w:p w14:paraId="78DB36FA" w14:textId="77777777" w:rsidR="009C7506" w:rsidRDefault="008B3AB3">
            <w:pPr>
              <w:spacing w:after="0" w:line="259" w:lineRule="auto"/>
              <w:ind w:left="0" w:right="64" w:firstLine="0"/>
              <w:jc w:val="center"/>
            </w:pPr>
            <w:r>
              <w:t xml:space="preserve">(%) </w:t>
            </w:r>
          </w:p>
        </w:tc>
        <w:tc>
          <w:tcPr>
            <w:tcW w:w="997" w:type="dxa"/>
            <w:tcBorders>
              <w:top w:val="nil"/>
              <w:left w:val="single" w:sz="4" w:space="0" w:color="000000"/>
              <w:bottom w:val="single" w:sz="4" w:space="0" w:color="000000"/>
              <w:right w:val="nil"/>
            </w:tcBorders>
            <w:vAlign w:val="center"/>
          </w:tcPr>
          <w:p w14:paraId="0CD91374" w14:textId="77777777" w:rsidR="009C7506" w:rsidRDefault="008B3AB3">
            <w:pPr>
              <w:spacing w:after="192" w:line="259" w:lineRule="auto"/>
              <w:ind w:left="0" w:right="206" w:firstLine="0"/>
              <w:jc w:val="center"/>
            </w:pPr>
            <w:r>
              <w:t xml:space="preserve">Max  </w:t>
            </w:r>
          </w:p>
          <w:p w14:paraId="7ECBFBB7" w14:textId="77777777" w:rsidR="009C7506" w:rsidRDefault="008B3AB3">
            <w:pPr>
              <w:spacing w:after="0" w:line="259" w:lineRule="auto"/>
              <w:ind w:left="152" w:right="0" w:firstLine="0"/>
              <w:jc w:val="left"/>
            </w:pPr>
            <w:r>
              <w:t xml:space="preserve">(%) </w:t>
            </w:r>
          </w:p>
        </w:tc>
      </w:tr>
      <w:tr w:rsidR="009C7506" w14:paraId="0979BC38" w14:textId="77777777">
        <w:trPr>
          <w:trHeight w:val="478"/>
        </w:trPr>
        <w:tc>
          <w:tcPr>
            <w:tcW w:w="1385" w:type="dxa"/>
            <w:vMerge w:val="restart"/>
            <w:tcBorders>
              <w:top w:val="single" w:sz="4" w:space="0" w:color="000000"/>
              <w:left w:val="nil"/>
              <w:bottom w:val="single" w:sz="4" w:space="0" w:color="000000"/>
              <w:right w:val="single" w:sz="4" w:space="0" w:color="000000"/>
            </w:tcBorders>
            <w:vAlign w:val="center"/>
          </w:tcPr>
          <w:p w14:paraId="62139463" w14:textId="77777777" w:rsidR="009C7506" w:rsidRDefault="008B3AB3">
            <w:pPr>
              <w:spacing w:after="0" w:line="259" w:lineRule="auto"/>
              <w:ind w:left="0" w:right="58" w:firstLine="0"/>
              <w:jc w:val="center"/>
            </w:pPr>
            <w:r>
              <w:lastRenderedPageBreak/>
              <w:t xml:space="preserve">2008-2015 </w:t>
            </w:r>
          </w:p>
        </w:tc>
        <w:tc>
          <w:tcPr>
            <w:tcW w:w="1335" w:type="dxa"/>
            <w:tcBorders>
              <w:top w:val="single" w:sz="4" w:space="0" w:color="000000"/>
              <w:left w:val="single" w:sz="4" w:space="0" w:color="000000"/>
              <w:bottom w:val="single" w:sz="4" w:space="0" w:color="000000"/>
              <w:right w:val="single" w:sz="4" w:space="0" w:color="000000"/>
            </w:tcBorders>
            <w:vAlign w:val="center"/>
          </w:tcPr>
          <w:p w14:paraId="24309812" w14:textId="77777777" w:rsidR="009C7506" w:rsidRDefault="008B3AB3">
            <w:pPr>
              <w:spacing w:after="0" w:line="259" w:lineRule="auto"/>
              <w:ind w:left="36" w:right="0" w:firstLine="0"/>
              <w:jc w:val="left"/>
            </w:pPr>
            <w:r>
              <w:rPr>
                <w:i/>
                <w:sz w:val="20"/>
              </w:rPr>
              <w:t>creditspread</w:t>
            </w:r>
            <w:r>
              <w:rPr>
                <w:i/>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7746B8E9" w14:textId="77777777" w:rsidR="009C7506" w:rsidRDefault="008B3AB3">
            <w:pPr>
              <w:spacing w:after="0" w:line="259" w:lineRule="auto"/>
              <w:ind w:left="0" w:right="60" w:firstLine="0"/>
              <w:jc w:val="center"/>
            </w:pPr>
            <w:r>
              <w:t xml:space="preserve">468 </w:t>
            </w:r>
          </w:p>
        </w:tc>
        <w:tc>
          <w:tcPr>
            <w:tcW w:w="1054" w:type="dxa"/>
            <w:tcBorders>
              <w:top w:val="single" w:sz="4" w:space="0" w:color="000000"/>
              <w:left w:val="single" w:sz="4" w:space="0" w:color="000000"/>
              <w:bottom w:val="single" w:sz="4" w:space="0" w:color="000000"/>
              <w:right w:val="single" w:sz="4" w:space="0" w:color="000000"/>
            </w:tcBorders>
            <w:vAlign w:val="center"/>
          </w:tcPr>
          <w:p w14:paraId="6F30C2B2" w14:textId="77777777" w:rsidR="009C7506" w:rsidRDefault="008B3AB3">
            <w:pPr>
              <w:spacing w:after="0" w:line="259" w:lineRule="auto"/>
              <w:ind w:left="0" w:right="58" w:firstLine="0"/>
              <w:jc w:val="center"/>
            </w:pPr>
            <w:r>
              <w:t xml:space="preserve">2.536 </w:t>
            </w:r>
          </w:p>
        </w:tc>
        <w:tc>
          <w:tcPr>
            <w:tcW w:w="1366" w:type="dxa"/>
            <w:tcBorders>
              <w:top w:val="single" w:sz="4" w:space="0" w:color="000000"/>
              <w:left w:val="single" w:sz="4" w:space="0" w:color="000000"/>
              <w:bottom w:val="single" w:sz="4" w:space="0" w:color="000000"/>
              <w:right w:val="single" w:sz="4" w:space="0" w:color="000000"/>
            </w:tcBorders>
            <w:vAlign w:val="center"/>
          </w:tcPr>
          <w:p w14:paraId="3CAA10D7" w14:textId="77777777" w:rsidR="009C7506" w:rsidRDefault="008B3AB3">
            <w:pPr>
              <w:spacing w:after="0" w:line="259" w:lineRule="auto"/>
              <w:ind w:left="0" w:right="58" w:firstLine="0"/>
              <w:jc w:val="center"/>
            </w:pPr>
            <w:r>
              <w:t xml:space="preserve">1.146 </w:t>
            </w:r>
          </w:p>
        </w:tc>
        <w:tc>
          <w:tcPr>
            <w:tcW w:w="995" w:type="dxa"/>
            <w:tcBorders>
              <w:top w:val="single" w:sz="4" w:space="0" w:color="000000"/>
              <w:left w:val="single" w:sz="4" w:space="0" w:color="000000"/>
              <w:bottom w:val="single" w:sz="4" w:space="0" w:color="000000"/>
              <w:right w:val="single" w:sz="4" w:space="0" w:color="000000"/>
            </w:tcBorders>
            <w:vAlign w:val="center"/>
          </w:tcPr>
          <w:p w14:paraId="6354CA6A" w14:textId="77777777" w:rsidR="009C7506" w:rsidRDefault="008B3AB3">
            <w:pPr>
              <w:spacing w:after="0" w:line="259" w:lineRule="auto"/>
              <w:ind w:left="0" w:right="47" w:firstLine="0"/>
              <w:jc w:val="center"/>
            </w:pPr>
            <w:r>
              <w:t xml:space="preserve">0.278 </w:t>
            </w:r>
          </w:p>
        </w:tc>
        <w:tc>
          <w:tcPr>
            <w:tcW w:w="997" w:type="dxa"/>
            <w:tcBorders>
              <w:top w:val="single" w:sz="4" w:space="0" w:color="000000"/>
              <w:left w:val="single" w:sz="4" w:space="0" w:color="000000"/>
              <w:bottom w:val="single" w:sz="4" w:space="0" w:color="000000"/>
              <w:right w:val="nil"/>
            </w:tcBorders>
            <w:vAlign w:val="center"/>
          </w:tcPr>
          <w:p w14:paraId="46E63B32" w14:textId="77777777" w:rsidR="009C7506" w:rsidRDefault="008B3AB3">
            <w:pPr>
              <w:spacing w:after="0" w:line="259" w:lineRule="auto"/>
              <w:ind w:left="0" w:right="47" w:firstLine="0"/>
              <w:jc w:val="center"/>
            </w:pPr>
            <w:r>
              <w:t xml:space="preserve">6.780 </w:t>
            </w:r>
          </w:p>
        </w:tc>
      </w:tr>
      <w:tr w:rsidR="009C7506" w14:paraId="3DA1812B" w14:textId="77777777">
        <w:trPr>
          <w:trHeight w:val="478"/>
        </w:trPr>
        <w:tc>
          <w:tcPr>
            <w:tcW w:w="0" w:type="auto"/>
            <w:vMerge/>
            <w:tcBorders>
              <w:top w:val="nil"/>
              <w:left w:val="nil"/>
              <w:bottom w:val="nil"/>
              <w:right w:val="single" w:sz="4" w:space="0" w:color="000000"/>
            </w:tcBorders>
          </w:tcPr>
          <w:p w14:paraId="1E3655A9" w14:textId="77777777" w:rsidR="009C7506" w:rsidRDefault="009C7506">
            <w:pPr>
              <w:spacing w:after="160" w:line="259" w:lineRule="auto"/>
              <w:ind w:left="0" w:right="0" w:firstLine="0"/>
              <w:jc w:val="left"/>
            </w:pPr>
          </w:p>
        </w:tc>
        <w:tc>
          <w:tcPr>
            <w:tcW w:w="1335" w:type="dxa"/>
            <w:tcBorders>
              <w:top w:val="single" w:sz="4" w:space="0" w:color="000000"/>
              <w:left w:val="single" w:sz="4" w:space="0" w:color="000000"/>
              <w:bottom w:val="single" w:sz="4" w:space="0" w:color="000000"/>
              <w:right w:val="single" w:sz="4" w:space="0" w:color="000000"/>
            </w:tcBorders>
            <w:vAlign w:val="center"/>
          </w:tcPr>
          <w:p w14:paraId="2580F968" w14:textId="77777777" w:rsidR="009C7506" w:rsidRDefault="008B3AB3">
            <w:pPr>
              <w:spacing w:after="0" w:line="259" w:lineRule="auto"/>
              <w:ind w:left="0" w:right="57" w:firstLine="0"/>
              <w:jc w:val="center"/>
            </w:pPr>
            <w:r>
              <w:rPr>
                <w:i/>
              </w:rPr>
              <w:t xml:space="preserve">SOE </w:t>
            </w:r>
          </w:p>
        </w:tc>
        <w:tc>
          <w:tcPr>
            <w:tcW w:w="876" w:type="dxa"/>
            <w:tcBorders>
              <w:top w:val="single" w:sz="4" w:space="0" w:color="000000"/>
              <w:left w:val="single" w:sz="4" w:space="0" w:color="000000"/>
              <w:bottom w:val="single" w:sz="4" w:space="0" w:color="000000"/>
              <w:right w:val="single" w:sz="4" w:space="0" w:color="000000"/>
            </w:tcBorders>
            <w:vAlign w:val="center"/>
          </w:tcPr>
          <w:p w14:paraId="5FECC96B" w14:textId="77777777" w:rsidR="009C7506" w:rsidRDefault="008B3AB3">
            <w:pPr>
              <w:spacing w:after="0" w:line="259" w:lineRule="auto"/>
              <w:ind w:left="0" w:right="60" w:firstLine="0"/>
              <w:jc w:val="center"/>
            </w:pPr>
            <w:r>
              <w:t xml:space="preserve">470 </w:t>
            </w:r>
          </w:p>
        </w:tc>
        <w:tc>
          <w:tcPr>
            <w:tcW w:w="1054" w:type="dxa"/>
            <w:tcBorders>
              <w:top w:val="single" w:sz="4" w:space="0" w:color="000000"/>
              <w:left w:val="single" w:sz="4" w:space="0" w:color="000000"/>
              <w:bottom w:val="single" w:sz="4" w:space="0" w:color="000000"/>
              <w:right w:val="single" w:sz="4" w:space="0" w:color="000000"/>
            </w:tcBorders>
            <w:vAlign w:val="center"/>
          </w:tcPr>
          <w:p w14:paraId="19F80862" w14:textId="77777777" w:rsidR="009C7506" w:rsidRDefault="008B3AB3">
            <w:pPr>
              <w:spacing w:after="0" w:line="259" w:lineRule="auto"/>
              <w:ind w:left="0" w:right="58" w:firstLine="0"/>
              <w:jc w:val="center"/>
            </w:pPr>
            <w:r>
              <w:t xml:space="preserve">0.529 </w:t>
            </w:r>
          </w:p>
        </w:tc>
        <w:tc>
          <w:tcPr>
            <w:tcW w:w="1366" w:type="dxa"/>
            <w:tcBorders>
              <w:top w:val="single" w:sz="4" w:space="0" w:color="000000"/>
              <w:left w:val="single" w:sz="4" w:space="0" w:color="000000"/>
              <w:bottom w:val="single" w:sz="4" w:space="0" w:color="000000"/>
              <w:right w:val="single" w:sz="4" w:space="0" w:color="000000"/>
            </w:tcBorders>
            <w:vAlign w:val="center"/>
          </w:tcPr>
          <w:p w14:paraId="5B664A67" w14:textId="77777777" w:rsidR="009C7506" w:rsidRDefault="008B3AB3">
            <w:pPr>
              <w:spacing w:after="0" w:line="259" w:lineRule="auto"/>
              <w:ind w:left="0" w:right="58" w:firstLine="0"/>
              <w:jc w:val="center"/>
            </w:pPr>
            <w:r>
              <w:t xml:space="preserve">0.499 </w:t>
            </w:r>
          </w:p>
        </w:tc>
        <w:tc>
          <w:tcPr>
            <w:tcW w:w="995" w:type="dxa"/>
            <w:tcBorders>
              <w:top w:val="single" w:sz="4" w:space="0" w:color="000000"/>
              <w:left w:val="single" w:sz="4" w:space="0" w:color="000000"/>
              <w:bottom w:val="single" w:sz="4" w:space="0" w:color="000000"/>
              <w:right w:val="single" w:sz="4" w:space="0" w:color="000000"/>
            </w:tcBorders>
            <w:vAlign w:val="center"/>
          </w:tcPr>
          <w:p w14:paraId="7E413119" w14:textId="77777777" w:rsidR="009C7506" w:rsidRDefault="008B3AB3">
            <w:pPr>
              <w:spacing w:after="0" w:line="259" w:lineRule="auto"/>
              <w:ind w:left="0" w:right="49" w:firstLine="0"/>
              <w:jc w:val="center"/>
            </w:pPr>
            <w:r>
              <w:t xml:space="preserve">0 </w:t>
            </w:r>
          </w:p>
        </w:tc>
        <w:tc>
          <w:tcPr>
            <w:tcW w:w="997" w:type="dxa"/>
            <w:tcBorders>
              <w:top w:val="single" w:sz="4" w:space="0" w:color="000000"/>
              <w:left w:val="single" w:sz="4" w:space="0" w:color="000000"/>
              <w:bottom w:val="single" w:sz="4" w:space="0" w:color="000000"/>
              <w:right w:val="nil"/>
            </w:tcBorders>
            <w:vAlign w:val="center"/>
          </w:tcPr>
          <w:p w14:paraId="26058A90" w14:textId="77777777" w:rsidR="009C7506" w:rsidRDefault="008B3AB3">
            <w:pPr>
              <w:spacing w:after="0" w:line="259" w:lineRule="auto"/>
              <w:ind w:left="0" w:right="49" w:firstLine="0"/>
              <w:jc w:val="center"/>
            </w:pPr>
            <w:r>
              <w:t xml:space="preserve">1 </w:t>
            </w:r>
          </w:p>
        </w:tc>
      </w:tr>
      <w:tr w:rsidR="009C7506" w14:paraId="18A9104C" w14:textId="77777777">
        <w:trPr>
          <w:trHeight w:val="480"/>
        </w:trPr>
        <w:tc>
          <w:tcPr>
            <w:tcW w:w="0" w:type="auto"/>
            <w:vMerge/>
            <w:tcBorders>
              <w:top w:val="nil"/>
              <w:left w:val="nil"/>
              <w:bottom w:val="single" w:sz="4" w:space="0" w:color="000000"/>
              <w:right w:val="single" w:sz="4" w:space="0" w:color="000000"/>
            </w:tcBorders>
          </w:tcPr>
          <w:p w14:paraId="77E513B4" w14:textId="77777777" w:rsidR="009C7506" w:rsidRDefault="009C7506">
            <w:pPr>
              <w:spacing w:after="160" w:line="259" w:lineRule="auto"/>
              <w:ind w:left="0" w:right="0" w:firstLine="0"/>
              <w:jc w:val="left"/>
            </w:pPr>
          </w:p>
        </w:tc>
        <w:tc>
          <w:tcPr>
            <w:tcW w:w="1335" w:type="dxa"/>
            <w:tcBorders>
              <w:top w:val="single" w:sz="4" w:space="0" w:color="000000"/>
              <w:left w:val="single" w:sz="4" w:space="0" w:color="000000"/>
              <w:bottom w:val="single" w:sz="4" w:space="0" w:color="000000"/>
              <w:right w:val="single" w:sz="4" w:space="0" w:color="000000"/>
            </w:tcBorders>
            <w:vAlign w:val="center"/>
          </w:tcPr>
          <w:p w14:paraId="2A31CC5D" w14:textId="77777777" w:rsidR="009C7506" w:rsidRDefault="008B3AB3">
            <w:pPr>
              <w:spacing w:after="0" w:line="259" w:lineRule="auto"/>
              <w:ind w:left="0" w:right="59" w:firstLine="0"/>
              <w:jc w:val="center"/>
            </w:pPr>
            <w:r>
              <w:rPr>
                <w:i/>
              </w:rPr>
              <w:t xml:space="preserve">UNDRR </w:t>
            </w:r>
          </w:p>
        </w:tc>
        <w:tc>
          <w:tcPr>
            <w:tcW w:w="876" w:type="dxa"/>
            <w:tcBorders>
              <w:top w:val="single" w:sz="4" w:space="0" w:color="000000"/>
              <w:left w:val="single" w:sz="4" w:space="0" w:color="000000"/>
              <w:bottom w:val="single" w:sz="4" w:space="0" w:color="000000"/>
              <w:right w:val="single" w:sz="4" w:space="0" w:color="000000"/>
            </w:tcBorders>
            <w:vAlign w:val="center"/>
          </w:tcPr>
          <w:p w14:paraId="5379DBE2" w14:textId="77777777" w:rsidR="009C7506" w:rsidRDefault="008B3AB3">
            <w:pPr>
              <w:spacing w:after="0" w:line="259" w:lineRule="auto"/>
              <w:ind w:left="0" w:right="60" w:firstLine="0"/>
              <w:jc w:val="center"/>
            </w:pPr>
            <w:r>
              <w:t xml:space="preserve">470 </w:t>
            </w:r>
          </w:p>
        </w:tc>
        <w:tc>
          <w:tcPr>
            <w:tcW w:w="1054" w:type="dxa"/>
            <w:tcBorders>
              <w:top w:val="single" w:sz="4" w:space="0" w:color="000000"/>
              <w:left w:val="single" w:sz="4" w:space="0" w:color="000000"/>
              <w:bottom w:val="single" w:sz="4" w:space="0" w:color="000000"/>
              <w:right w:val="single" w:sz="4" w:space="0" w:color="000000"/>
            </w:tcBorders>
            <w:vAlign w:val="center"/>
          </w:tcPr>
          <w:p w14:paraId="04F54D9D" w14:textId="77777777" w:rsidR="009C7506" w:rsidRDefault="008B3AB3">
            <w:pPr>
              <w:spacing w:after="0" w:line="259" w:lineRule="auto"/>
              <w:ind w:left="0" w:right="58" w:firstLine="0"/>
              <w:jc w:val="center"/>
            </w:pPr>
            <w:r>
              <w:t xml:space="preserve">0.334 </w:t>
            </w:r>
          </w:p>
        </w:tc>
        <w:tc>
          <w:tcPr>
            <w:tcW w:w="1366" w:type="dxa"/>
            <w:tcBorders>
              <w:top w:val="single" w:sz="4" w:space="0" w:color="000000"/>
              <w:left w:val="single" w:sz="4" w:space="0" w:color="000000"/>
              <w:bottom w:val="single" w:sz="4" w:space="0" w:color="000000"/>
              <w:right w:val="single" w:sz="4" w:space="0" w:color="000000"/>
            </w:tcBorders>
            <w:vAlign w:val="center"/>
          </w:tcPr>
          <w:p w14:paraId="51AF31B6" w14:textId="77777777" w:rsidR="009C7506" w:rsidRDefault="008B3AB3">
            <w:pPr>
              <w:spacing w:after="0" w:line="259" w:lineRule="auto"/>
              <w:ind w:left="0" w:right="58" w:firstLine="0"/>
              <w:jc w:val="center"/>
            </w:pPr>
            <w:r>
              <w:t xml:space="preserve">0.472 </w:t>
            </w:r>
          </w:p>
        </w:tc>
        <w:tc>
          <w:tcPr>
            <w:tcW w:w="995" w:type="dxa"/>
            <w:tcBorders>
              <w:top w:val="single" w:sz="4" w:space="0" w:color="000000"/>
              <w:left w:val="single" w:sz="4" w:space="0" w:color="000000"/>
              <w:bottom w:val="single" w:sz="4" w:space="0" w:color="000000"/>
              <w:right w:val="single" w:sz="4" w:space="0" w:color="000000"/>
            </w:tcBorders>
            <w:vAlign w:val="center"/>
          </w:tcPr>
          <w:p w14:paraId="4912FD5E" w14:textId="77777777" w:rsidR="009C7506" w:rsidRDefault="008B3AB3">
            <w:pPr>
              <w:spacing w:after="0" w:line="259" w:lineRule="auto"/>
              <w:ind w:left="0" w:right="49" w:firstLine="0"/>
              <w:jc w:val="center"/>
            </w:pPr>
            <w:r>
              <w:t xml:space="preserve">0 </w:t>
            </w:r>
          </w:p>
        </w:tc>
        <w:tc>
          <w:tcPr>
            <w:tcW w:w="997" w:type="dxa"/>
            <w:tcBorders>
              <w:top w:val="single" w:sz="4" w:space="0" w:color="000000"/>
              <w:left w:val="single" w:sz="4" w:space="0" w:color="000000"/>
              <w:bottom w:val="single" w:sz="4" w:space="0" w:color="000000"/>
              <w:right w:val="nil"/>
            </w:tcBorders>
            <w:vAlign w:val="center"/>
          </w:tcPr>
          <w:p w14:paraId="788EC85A" w14:textId="77777777" w:rsidR="009C7506" w:rsidRDefault="008B3AB3">
            <w:pPr>
              <w:spacing w:after="0" w:line="259" w:lineRule="auto"/>
              <w:ind w:left="0" w:right="49" w:firstLine="0"/>
              <w:jc w:val="center"/>
            </w:pPr>
            <w:r>
              <w:t xml:space="preserve">1 </w:t>
            </w:r>
          </w:p>
        </w:tc>
      </w:tr>
      <w:tr w:rsidR="009C7506" w14:paraId="29B82EAC" w14:textId="77777777">
        <w:trPr>
          <w:trHeight w:val="478"/>
        </w:trPr>
        <w:tc>
          <w:tcPr>
            <w:tcW w:w="1385" w:type="dxa"/>
            <w:vMerge w:val="restart"/>
            <w:tcBorders>
              <w:top w:val="single" w:sz="4" w:space="0" w:color="000000"/>
              <w:left w:val="nil"/>
              <w:bottom w:val="single" w:sz="4" w:space="0" w:color="000000"/>
              <w:right w:val="single" w:sz="4" w:space="0" w:color="000000"/>
            </w:tcBorders>
            <w:vAlign w:val="center"/>
          </w:tcPr>
          <w:p w14:paraId="28E2E0CB" w14:textId="77777777" w:rsidR="009C7506" w:rsidRDefault="008B3AB3">
            <w:pPr>
              <w:spacing w:after="0" w:line="259" w:lineRule="auto"/>
              <w:ind w:left="0" w:right="58" w:firstLine="0"/>
              <w:jc w:val="center"/>
            </w:pPr>
            <w:r>
              <w:t xml:space="preserve">2008-2013 </w:t>
            </w:r>
          </w:p>
        </w:tc>
        <w:tc>
          <w:tcPr>
            <w:tcW w:w="1335" w:type="dxa"/>
            <w:tcBorders>
              <w:top w:val="single" w:sz="4" w:space="0" w:color="000000"/>
              <w:left w:val="single" w:sz="4" w:space="0" w:color="000000"/>
              <w:bottom w:val="single" w:sz="4" w:space="0" w:color="000000"/>
              <w:right w:val="single" w:sz="4" w:space="0" w:color="000000"/>
            </w:tcBorders>
            <w:vAlign w:val="center"/>
          </w:tcPr>
          <w:p w14:paraId="22D69388" w14:textId="77777777" w:rsidR="009C7506" w:rsidRDefault="008B3AB3">
            <w:pPr>
              <w:spacing w:after="0" w:line="259" w:lineRule="auto"/>
              <w:ind w:left="36" w:right="0" w:firstLine="0"/>
              <w:jc w:val="left"/>
            </w:pPr>
            <w:r>
              <w:rPr>
                <w:i/>
                <w:sz w:val="20"/>
              </w:rPr>
              <w:t>creditspread</w:t>
            </w:r>
            <w:r>
              <w:rPr>
                <w:i/>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1CE67C56" w14:textId="77777777" w:rsidR="009C7506" w:rsidRDefault="008B3AB3">
            <w:pPr>
              <w:spacing w:after="0" w:line="259" w:lineRule="auto"/>
              <w:ind w:left="0" w:right="60" w:firstLine="0"/>
              <w:jc w:val="center"/>
            </w:pPr>
            <w:r>
              <w:t xml:space="preserve">279 </w:t>
            </w:r>
          </w:p>
        </w:tc>
        <w:tc>
          <w:tcPr>
            <w:tcW w:w="1054" w:type="dxa"/>
            <w:tcBorders>
              <w:top w:val="single" w:sz="4" w:space="0" w:color="000000"/>
              <w:left w:val="single" w:sz="4" w:space="0" w:color="000000"/>
              <w:bottom w:val="single" w:sz="4" w:space="0" w:color="000000"/>
              <w:right w:val="single" w:sz="4" w:space="0" w:color="000000"/>
            </w:tcBorders>
            <w:vAlign w:val="center"/>
          </w:tcPr>
          <w:p w14:paraId="513C9DFF" w14:textId="77777777" w:rsidR="009C7506" w:rsidRDefault="008B3AB3">
            <w:pPr>
              <w:spacing w:after="0" w:line="259" w:lineRule="auto"/>
              <w:ind w:left="0" w:right="58" w:firstLine="0"/>
              <w:jc w:val="center"/>
            </w:pPr>
            <w:r>
              <w:t xml:space="preserve">2.770 </w:t>
            </w:r>
          </w:p>
        </w:tc>
        <w:tc>
          <w:tcPr>
            <w:tcW w:w="1366" w:type="dxa"/>
            <w:tcBorders>
              <w:top w:val="single" w:sz="4" w:space="0" w:color="000000"/>
              <w:left w:val="single" w:sz="4" w:space="0" w:color="000000"/>
              <w:bottom w:val="single" w:sz="4" w:space="0" w:color="000000"/>
              <w:right w:val="single" w:sz="4" w:space="0" w:color="000000"/>
            </w:tcBorders>
            <w:vAlign w:val="center"/>
          </w:tcPr>
          <w:p w14:paraId="1D8626AA" w14:textId="77777777" w:rsidR="009C7506" w:rsidRDefault="008B3AB3">
            <w:pPr>
              <w:spacing w:after="0" w:line="259" w:lineRule="auto"/>
              <w:ind w:left="0" w:right="58" w:firstLine="0"/>
              <w:jc w:val="center"/>
            </w:pPr>
            <w:r>
              <w:t xml:space="preserve">1.028 </w:t>
            </w:r>
          </w:p>
        </w:tc>
        <w:tc>
          <w:tcPr>
            <w:tcW w:w="995" w:type="dxa"/>
            <w:tcBorders>
              <w:top w:val="single" w:sz="4" w:space="0" w:color="000000"/>
              <w:left w:val="single" w:sz="4" w:space="0" w:color="000000"/>
              <w:bottom w:val="single" w:sz="4" w:space="0" w:color="000000"/>
              <w:right w:val="single" w:sz="4" w:space="0" w:color="000000"/>
            </w:tcBorders>
            <w:vAlign w:val="center"/>
          </w:tcPr>
          <w:p w14:paraId="3E86183B" w14:textId="77777777" w:rsidR="009C7506" w:rsidRDefault="008B3AB3">
            <w:pPr>
              <w:spacing w:after="0" w:line="259" w:lineRule="auto"/>
              <w:ind w:left="0" w:right="47" w:firstLine="0"/>
              <w:jc w:val="center"/>
            </w:pPr>
            <w:r>
              <w:t xml:space="preserve">1.199 </w:t>
            </w:r>
          </w:p>
        </w:tc>
        <w:tc>
          <w:tcPr>
            <w:tcW w:w="997" w:type="dxa"/>
            <w:tcBorders>
              <w:top w:val="single" w:sz="4" w:space="0" w:color="000000"/>
              <w:left w:val="single" w:sz="4" w:space="0" w:color="000000"/>
              <w:bottom w:val="single" w:sz="4" w:space="0" w:color="000000"/>
              <w:right w:val="nil"/>
            </w:tcBorders>
            <w:vAlign w:val="center"/>
          </w:tcPr>
          <w:p w14:paraId="395C6C6C" w14:textId="77777777" w:rsidR="009C7506" w:rsidRDefault="008B3AB3">
            <w:pPr>
              <w:spacing w:after="0" w:line="259" w:lineRule="auto"/>
              <w:ind w:left="0" w:right="47" w:firstLine="0"/>
              <w:jc w:val="center"/>
            </w:pPr>
            <w:r>
              <w:t xml:space="preserve">6.780 </w:t>
            </w:r>
          </w:p>
        </w:tc>
      </w:tr>
      <w:tr w:rsidR="009C7506" w14:paraId="0150D7D4" w14:textId="77777777">
        <w:trPr>
          <w:trHeight w:val="478"/>
        </w:trPr>
        <w:tc>
          <w:tcPr>
            <w:tcW w:w="0" w:type="auto"/>
            <w:vMerge/>
            <w:tcBorders>
              <w:top w:val="nil"/>
              <w:left w:val="nil"/>
              <w:bottom w:val="nil"/>
              <w:right w:val="single" w:sz="4" w:space="0" w:color="000000"/>
            </w:tcBorders>
          </w:tcPr>
          <w:p w14:paraId="19E3423F" w14:textId="77777777" w:rsidR="009C7506" w:rsidRDefault="009C7506">
            <w:pPr>
              <w:spacing w:after="160" w:line="259" w:lineRule="auto"/>
              <w:ind w:left="0" w:right="0" w:firstLine="0"/>
              <w:jc w:val="left"/>
            </w:pPr>
          </w:p>
        </w:tc>
        <w:tc>
          <w:tcPr>
            <w:tcW w:w="1335" w:type="dxa"/>
            <w:tcBorders>
              <w:top w:val="single" w:sz="4" w:space="0" w:color="000000"/>
              <w:left w:val="single" w:sz="4" w:space="0" w:color="000000"/>
              <w:bottom w:val="single" w:sz="4" w:space="0" w:color="000000"/>
              <w:right w:val="single" w:sz="4" w:space="0" w:color="000000"/>
            </w:tcBorders>
            <w:vAlign w:val="center"/>
          </w:tcPr>
          <w:p w14:paraId="3E71227C" w14:textId="77777777" w:rsidR="009C7506" w:rsidRDefault="008B3AB3">
            <w:pPr>
              <w:spacing w:after="0" w:line="259" w:lineRule="auto"/>
              <w:ind w:left="0" w:right="57" w:firstLine="0"/>
              <w:jc w:val="center"/>
            </w:pPr>
            <w:r>
              <w:rPr>
                <w:i/>
              </w:rPr>
              <w:t xml:space="preserve">SOE </w:t>
            </w:r>
          </w:p>
        </w:tc>
        <w:tc>
          <w:tcPr>
            <w:tcW w:w="876" w:type="dxa"/>
            <w:tcBorders>
              <w:top w:val="single" w:sz="4" w:space="0" w:color="000000"/>
              <w:left w:val="single" w:sz="4" w:space="0" w:color="000000"/>
              <w:bottom w:val="single" w:sz="4" w:space="0" w:color="000000"/>
              <w:right w:val="single" w:sz="4" w:space="0" w:color="000000"/>
            </w:tcBorders>
            <w:vAlign w:val="center"/>
          </w:tcPr>
          <w:p w14:paraId="1544C059" w14:textId="77777777" w:rsidR="009C7506" w:rsidRDefault="008B3AB3">
            <w:pPr>
              <w:spacing w:after="0" w:line="259" w:lineRule="auto"/>
              <w:ind w:left="0" w:right="60" w:firstLine="0"/>
              <w:jc w:val="center"/>
            </w:pPr>
            <w:r>
              <w:t xml:space="preserve">280 </w:t>
            </w:r>
          </w:p>
        </w:tc>
        <w:tc>
          <w:tcPr>
            <w:tcW w:w="1054" w:type="dxa"/>
            <w:tcBorders>
              <w:top w:val="single" w:sz="4" w:space="0" w:color="000000"/>
              <w:left w:val="single" w:sz="4" w:space="0" w:color="000000"/>
              <w:bottom w:val="single" w:sz="4" w:space="0" w:color="000000"/>
              <w:right w:val="single" w:sz="4" w:space="0" w:color="000000"/>
            </w:tcBorders>
            <w:vAlign w:val="center"/>
          </w:tcPr>
          <w:p w14:paraId="0993CCE2" w14:textId="77777777" w:rsidR="009C7506" w:rsidRDefault="008B3AB3">
            <w:pPr>
              <w:spacing w:after="0" w:line="259" w:lineRule="auto"/>
              <w:ind w:left="0" w:right="58" w:firstLine="0"/>
              <w:jc w:val="center"/>
            </w:pPr>
            <w:r>
              <w:t xml:space="preserve">0.386 </w:t>
            </w:r>
          </w:p>
        </w:tc>
        <w:tc>
          <w:tcPr>
            <w:tcW w:w="1366" w:type="dxa"/>
            <w:tcBorders>
              <w:top w:val="single" w:sz="4" w:space="0" w:color="000000"/>
              <w:left w:val="single" w:sz="4" w:space="0" w:color="000000"/>
              <w:bottom w:val="single" w:sz="4" w:space="0" w:color="000000"/>
              <w:right w:val="single" w:sz="4" w:space="0" w:color="000000"/>
            </w:tcBorders>
            <w:vAlign w:val="center"/>
          </w:tcPr>
          <w:p w14:paraId="0627B693" w14:textId="77777777" w:rsidR="009C7506" w:rsidRDefault="008B3AB3">
            <w:pPr>
              <w:spacing w:after="0" w:line="259" w:lineRule="auto"/>
              <w:ind w:left="0" w:right="58" w:firstLine="0"/>
              <w:jc w:val="center"/>
            </w:pPr>
            <w:r>
              <w:t xml:space="preserve">0.488 </w:t>
            </w:r>
          </w:p>
        </w:tc>
        <w:tc>
          <w:tcPr>
            <w:tcW w:w="995" w:type="dxa"/>
            <w:tcBorders>
              <w:top w:val="single" w:sz="4" w:space="0" w:color="000000"/>
              <w:left w:val="single" w:sz="4" w:space="0" w:color="000000"/>
              <w:bottom w:val="single" w:sz="4" w:space="0" w:color="000000"/>
              <w:right w:val="single" w:sz="4" w:space="0" w:color="000000"/>
            </w:tcBorders>
            <w:vAlign w:val="center"/>
          </w:tcPr>
          <w:p w14:paraId="3C93C8EB" w14:textId="77777777" w:rsidR="009C7506" w:rsidRDefault="008B3AB3">
            <w:pPr>
              <w:spacing w:after="0" w:line="259" w:lineRule="auto"/>
              <w:ind w:left="0" w:right="49" w:firstLine="0"/>
              <w:jc w:val="center"/>
            </w:pPr>
            <w:r>
              <w:t xml:space="preserve">0 </w:t>
            </w:r>
          </w:p>
        </w:tc>
        <w:tc>
          <w:tcPr>
            <w:tcW w:w="997" w:type="dxa"/>
            <w:tcBorders>
              <w:top w:val="single" w:sz="4" w:space="0" w:color="000000"/>
              <w:left w:val="single" w:sz="4" w:space="0" w:color="000000"/>
              <w:bottom w:val="single" w:sz="4" w:space="0" w:color="000000"/>
              <w:right w:val="nil"/>
            </w:tcBorders>
            <w:vAlign w:val="center"/>
          </w:tcPr>
          <w:p w14:paraId="0C8FBCF6" w14:textId="77777777" w:rsidR="009C7506" w:rsidRDefault="008B3AB3">
            <w:pPr>
              <w:spacing w:after="0" w:line="259" w:lineRule="auto"/>
              <w:ind w:left="0" w:right="49" w:firstLine="0"/>
              <w:jc w:val="center"/>
            </w:pPr>
            <w:r>
              <w:t xml:space="preserve">1 </w:t>
            </w:r>
          </w:p>
        </w:tc>
      </w:tr>
      <w:tr w:rsidR="009C7506" w14:paraId="32AEB9DA" w14:textId="77777777">
        <w:trPr>
          <w:trHeight w:val="478"/>
        </w:trPr>
        <w:tc>
          <w:tcPr>
            <w:tcW w:w="0" w:type="auto"/>
            <w:vMerge/>
            <w:tcBorders>
              <w:top w:val="nil"/>
              <w:left w:val="nil"/>
              <w:bottom w:val="single" w:sz="4" w:space="0" w:color="000000"/>
              <w:right w:val="single" w:sz="4" w:space="0" w:color="000000"/>
            </w:tcBorders>
          </w:tcPr>
          <w:p w14:paraId="157484CF" w14:textId="77777777" w:rsidR="009C7506" w:rsidRDefault="009C7506">
            <w:pPr>
              <w:spacing w:after="160" w:line="259" w:lineRule="auto"/>
              <w:ind w:left="0" w:right="0" w:firstLine="0"/>
              <w:jc w:val="left"/>
            </w:pPr>
          </w:p>
        </w:tc>
        <w:tc>
          <w:tcPr>
            <w:tcW w:w="1335" w:type="dxa"/>
            <w:tcBorders>
              <w:top w:val="single" w:sz="4" w:space="0" w:color="000000"/>
              <w:left w:val="single" w:sz="4" w:space="0" w:color="000000"/>
              <w:bottom w:val="single" w:sz="4" w:space="0" w:color="000000"/>
              <w:right w:val="single" w:sz="4" w:space="0" w:color="000000"/>
            </w:tcBorders>
            <w:vAlign w:val="center"/>
          </w:tcPr>
          <w:p w14:paraId="3217B3CC" w14:textId="77777777" w:rsidR="009C7506" w:rsidRDefault="008B3AB3">
            <w:pPr>
              <w:spacing w:after="0" w:line="259" w:lineRule="auto"/>
              <w:ind w:left="0" w:right="59" w:firstLine="0"/>
              <w:jc w:val="center"/>
            </w:pPr>
            <w:r>
              <w:rPr>
                <w:i/>
              </w:rPr>
              <w:t xml:space="preserve">UNDRR </w:t>
            </w:r>
          </w:p>
        </w:tc>
        <w:tc>
          <w:tcPr>
            <w:tcW w:w="876" w:type="dxa"/>
            <w:tcBorders>
              <w:top w:val="single" w:sz="4" w:space="0" w:color="000000"/>
              <w:left w:val="single" w:sz="4" w:space="0" w:color="000000"/>
              <w:bottom w:val="single" w:sz="4" w:space="0" w:color="000000"/>
              <w:right w:val="single" w:sz="4" w:space="0" w:color="000000"/>
            </w:tcBorders>
            <w:vAlign w:val="center"/>
          </w:tcPr>
          <w:p w14:paraId="525959BC" w14:textId="77777777" w:rsidR="009C7506" w:rsidRDefault="008B3AB3">
            <w:pPr>
              <w:spacing w:after="0" w:line="259" w:lineRule="auto"/>
              <w:ind w:left="0" w:right="60" w:firstLine="0"/>
              <w:jc w:val="center"/>
            </w:pPr>
            <w:r>
              <w:t xml:space="preserve">280 </w:t>
            </w:r>
          </w:p>
        </w:tc>
        <w:tc>
          <w:tcPr>
            <w:tcW w:w="1054" w:type="dxa"/>
            <w:tcBorders>
              <w:top w:val="single" w:sz="4" w:space="0" w:color="000000"/>
              <w:left w:val="single" w:sz="4" w:space="0" w:color="000000"/>
              <w:bottom w:val="single" w:sz="4" w:space="0" w:color="000000"/>
              <w:right w:val="single" w:sz="4" w:space="0" w:color="000000"/>
            </w:tcBorders>
            <w:vAlign w:val="center"/>
          </w:tcPr>
          <w:p w14:paraId="48D46178" w14:textId="77777777" w:rsidR="009C7506" w:rsidRDefault="008B3AB3">
            <w:pPr>
              <w:spacing w:after="0" w:line="259" w:lineRule="auto"/>
              <w:ind w:left="0" w:right="58" w:firstLine="0"/>
              <w:jc w:val="center"/>
            </w:pPr>
            <w:r>
              <w:t xml:space="preserve">0.554 </w:t>
            </w:r>
          </w:p>
        </w:tc>
        <w:tc>
          <w:tcPr>
            <w:tcW w:w="1366" w:type="dxa"/>
            <w:tcBorders>
              <w:top w:val="single" w:sz="4" w:space="0" w:color="000000"/>
              <w:left w:val="single" w:sz="4" w:space="0" w:color="000000"/>
              <w:bottom w:val="single" w:sz="4" w:space="0" w:color="000000"/>
              <w:right w:val="single" w:sz="4" w:space="0" w:color="000000"/>
            </w:tcBorders>
            <w:vAlign w:val="center"/>
          </w:tcPr>
          <w:p w14:paraId="16AC046D" w14:textId="77777777" w:rsidR="009C7506" w:rsidRDefault="008B3AB3">
            <w:pPr>
              <w:spacing w:after="0" w:line="259" w:lineRule="auto"/>
              <w:ind w:left="0" w:right="58" w:firstLine="0"/>
              <w:jc w:val="center"/>
            </w:pPr>
            <w:r>
              <w:t xml:space="preserve">0.498 </w:t>
            </w:r>
          </w:p>
        </w:tc>
        <w:tc>
          <w:tcPr>
            <w:tcW w:w="995" w:type="dxa"/>
            <w:tcBorders>
              <w:top w:val="single" w:sz="4" w:space="0" w:color="000000"/>
              <w:left w:val="single" w:sz="4" w:space="0" w:color="000000"/>
              <w:bottom w:val="single" w:sz="4" w:space="0" w:color="000000"/>
              <w:right w:val="single" w:sz="4" w:space="0" w:color="000000"/>
            </w:tcBorders>
            <w:vAlign w:val="center"/>
          </w:tcPr>
          <w:p w14:paraId="6032762E" w14:textId="77777777" w:rsidR="009C7506" w:rsidRDefault="008B3AB3">
            <w:pPr>
              <w:spacing w:after="0" w:line="259" w:lineRule="auto"/>
              <w:ind w:left="0" w:right="49" w:firstLine="0"/>
              <w:jc w:val="center"/>
            </w:pPr>
            <w:r>
              <w:t xml:space="preserve">0 </w:t>
            </w:r>
          </w:p>
        </w:tc>
        <w:tc>
          <w:tcPr>
            <w:tcW w:w="997" w:type="dxa"/>
            <w:tcBorders>
              <w:top w:val="single" w:sz="4" w:space="0" w:color="000000"/>
              <w:left w:val="single" w:sz="4" w:space="0" w:color="000000"/>
              <w:bottom w:val="single" w:sz="4" w:space="0" w:color="000000"/>
              <w:right w:val="nil"/>
            </w:tcBorders>
            <w:vAlign w:val="center"/>
          </w:tcPr>
          <w:p w14:paraId="0AEC9F7A" w14:textId="77777777" w:rsidR="009C7506" w:rsidRDefault="008B3AB3">
            <w:pPr>
              <w:spacing w:after="0" w:line="259" w:lineRule="auto"/>
              <w:ind w:left="0" w:right="49" w:firstLine="0"/>
              <w:jc w:val="center"/>
            </w:pPr>
            <w:r>
              <w:t xml:space="preserve">1 </w:t>
            </w:r>
          </w:p>
        </w:tc>
      </w:tr>
      <w:tr w:rsidR="009C7506" w14:paraId="369250DD" w14:textId="77777777">
        <w:trPr>
          <w:trHeight w:val="478"/>
        </w:trPr>
        <w:tc>
          <w:tcPr>
            <w:tcW w:w="1385" w:type="dxa"/>
            <w:vMerge w:val="restart"/>
            <w:tcBorders>
              <w:top w:val="single" w:sz="4" w:space="0" w:color="000000"/>
              <w:left w:val="nil"/>
              <w:bottom w:val="single" w:sz="4" w:space="0" w:color="000000"/>
              <w:right w:val="single" w:sz="4" w:space="0" w:color="000000"/>
            </w:tcBorders>
            <w:vAlign w:val="center"/>
          </w:tcPr>
          <w:p w14:paraId="741CB250" w14:textId="77777777" w:rsidR="009C7506" w:rsidRDefault="008B3AB3">
            <w:pPr>
              <w:spacing w:after="0" w:line="259" w:lineRule="auto"/>
              <w:ind w:left="0" w:right="58" w:firstLine="0"/>
              <w:jc w:val="center"/>
            </w:pPr>
            <w:r>
              <w:t xml:space="preserve">2014-2015 </w:t>
            </w:r>
          </w:p>
        </w:tc>
        <w:tc>
          <w:tcPr>
            <w:tcW w:w="1335" w:type="dxa"/>
            <w:tcBorders>
              <w:top w:val="single" w:sz="4" w:space="0" w:color="000000"/>
              <w:left w:val="single" w:sz="4" w:space="0" w:color="000000"/>
              <w:bottom w:val="single" w:sz="4" w:space="0" w:color="000000"/>
              <w:right w:val="single" w:sz="4" w:space="0" w:color="000000"/>
            </w:tcBorders>
            <w:vAlign w:val="center"/>
          </w:tcPr>
          <w:p w14:paraId="0BF1AA44" w14:textId="77777777" w:rsidR="009C7506" w:rsidRDefault="008B3AB3">
            <w:pPr>
              <w:spacing w:after="0" w:line="259" w:lineRule="auto"/>
              <w:ind w:left="36" w:right="0" w:firstLine="0"/>
              <w:jc w:val="left"/>
            </w:pPr>
            <w:r>
              <w:rPr>
                <w:i/>
                <w:sz w:val="20"/>
              </w:rPr>
              <w:t>creditspread</w:t>
            </w:r>
            <w:r>
              <w:rPr>
                <w:i/>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511DA847" w14:textId="77777777" w:rsidR="009C7506" w:rsidRDefault="008B3AB3">
            <w:pPr>
              <w:spacing w:after="0" w:line="259" w:lineRule="auto"/>
              <w:ind w:left="0" w:right="60" w:firstLine="0"/>
              <w:jc w:val="center"/>
            </w:pPr>
            <w:r>
              <w:t xml:space="preserve">189 </w:t>
            </w:r>
          </w:p>
        </w:tc>
        <w:tc>
          <w:tcPr>
            <w:tcW w:w="1054" w:type="dxa"/>
            <w:tcBorders>
              <w:top w:val="single" w:sz="4" w:space="0" w:color="000000"/>
              <w:left w:val="single" w:sz="4" w:space="0" w:color="000000"/>
              <w:bottom w:val="single" w:sz="4" w:space="0" w:color="000000"/>
              <w:right w:val="single" w:sz="4" w:space="0" w:color="000000"/>
            </w:tcBorders>
            <w:vAlign w:val="center"/>
          </w:tcPr>
          <w:p w14:paraId="79CD80C2" w14:textId="77777777" w:rsidR="009C7506" w:rsidRDefault="008B3AB3">
            <w:pPr>
              <w:spacing w:after="0" w:line="259" w:lineRule="auto"/>
              <w:ind w:left="0" w:right="58" w:firstLine="0"/>
              <w:jc w:val="center"/>
            </w:pPr>
            <w:r>
              <w:t xml:space="preserve">2.190 </w:t>
            </w:r>
          </w:p>
        </w:tc>
        <w:tc>
          <w:tcPr>
            <w:tcW w:w="1366" w:type="dxa"/>
            <w:tcBorders>
              <w:top w:val="single" w:sz="4" w:space="0" w:color="000000"/>
              <w:left w:val="single" w:sz="4" w:space="0" w:color="000000"/>
              <w:bottom w:val="single" w:sz="4" w:space="0" w:color="000000"/>
              <w:right w:val="single" w:sz="4" w:space="0" w:color="000000"/>
            </w:tcBorders>
            <w:vAlign w:val="center"/>
          </w:tcPr>
          <w:p w14:paraId="5BD191EE" w14:textId="77777777" w:rsidR="009C7506" w:rsidRDefault="008B3AB3">
            <w:pPr>
              <w:spacing w:after="0" w:line="259" w:lineRule="auto"/>
              <w:ind w:left="0" w:right="58" w:firstLine="0"/>
              <w:jc w:val="center"/>
            </w:pPr>
            <w:r>
              <w:t xml:space="preserve">1.224 </w:t>
            </w:r>
          </w:p>
        </w:tc>
        <w:tc>
          <w:tcPr>
            <w:tcW w:w="995" w:type="dxa"/>
            <w:tcBorders>
              <w:top w:val="single" w:sz="4" w:space="0" w:color="000000"/>
              <w:left w:val="single" w:sz="4" w:space="0" w:color="000000"/>
              <w:bottom w:val="single" w:sz="4" w:space="0" w:color="000000"/>
              <w:right w:val="single" w:sz="4" w:space="0" w:color="000000"/>
            </w:tcBorders>
            <w:vAlign w:val="center"/>
          </w:tcPr>
          <w:p w14:paraId="11D83041" w14:textId="77777777" w:rsidR="009C7506" w:rsidRDefault="008B3AB3">
            <w:pPr>
              <w:spacing w:after="0" w:line="259" w:lineRule="auto"/>
              <w:ind w:left="0" w:right="47" w:firstLine="0"/>
              <w:jc w:val="center"/>
            </w:pPr>
            <w:r>
              <w:t xml:space="preserve">0.278 </w:t>
            </w:r>
          </w:p>
        </w:tc>
        <w:tc>
          <w:tcPr>
            <w:tcW w:w="997" w:type="dxa"/>
            <w:tcBorders>
              <w:top w:val="single" w:sz="4" w:space="0" w:color="000000"/>
              <w:left w:val="single" w:sz="4" w:space="0" w:color="000000"/>
              <w:bottom w:val="single" w:sz="4" w:space="0" w:color="000000"/>
              <w:right w:val="nil"/>
            </w:tcBorders>
            <w:vAlign w:val="center"/>
          </w:tcPr>
          <w:p w14:paraId="2DBFEA75" w14:textId="77777777" w:rsidR="009C7506" w:rsidRDefault="008B3AB3">
            <w:pPr>
              <w:spacing w:after="0" w:line="259" w:lineRule="auto"/>
              <w:ind w:left="0" w:right="47" w:firstLine="0"/>
              <w:jc w:val="center"/>
            </w:pPr>
            <w:r>
              <w:t xml:space="preserve">6.541 </w:t>
            </w:r>
          </w:p>
        </w:tc>
      </w:tr>
      <w:tr w:rsidR="009C7506" w14:paraId="1104BC56" w14:textId="77777777">
        <w:trPr>
          <w:trHeight w:val="478"/>
        </w:trPr>
        <w:tc>
          <w:tcPr>
            <w:tcW w:w="0" w:type="auto"/>
            <w:vMerge/>
            <w:tcBorders>
              <w:top w:val="nil"/>
              <w:left w:val="nil"/>
              <w:bottom w:val="nil"/>
              <w:right w:val="single" w:sz="4" w:space="0" w:color="000000"/>
            </w:tcBorders>
          </w:tcPr>
          <w:p w14:paraId="2634F744" w14:textId="77777777" w:rsidR="009C7506" w:rsidRDefault="009C7506">
            <w:pPr>
              <w:spacing w:after="160" w:line="259" w:lineRule="auto"/>
              <w:ind w:left="0" w:right="0" w:firstLine="0"/>
              <w:jc w:val="left"/>
            </w:pPr>
          </w:p>
        </w:tc>
        <w:tc>
          <w:tcPr>
            <w:tcW w:w="1335" w:type="dxa"/>
            <w:tcBorders>
              <w:top w:val="single" w:sz="4" w:space="0" w:color="000000"/>
              <w:left w:val="single" w:sz="4" w:space="0" w:color="000000"/>
              <w:bottom w:val="single" w:sz="4" w:space="0" w:color="000000"/>
              <w:right w:val="single" w:sz="4" w:space="0" w:color="000000"/>
            </w:tcBorders>
            <w:vAlign w:val="center"/>
          </w:tcPr>
          <w:p w14:paraId="58FEC265" w14:textId="77777777" w:rsidR="009C7506" w:rsidRDefault="008B3AB3">
            <w:pPr>
              <w:spacing w:after="0" w:line="259" w:lineRule="auto"/>
              <w:ind w:left="0" w:right="57" w:firstLine="0"/>
              <w:jc w:val="center"/>
            </w:pPr>
            <w:r>
              <w:rPr>
                <w:i/>
              </w:rPr>
              <w:t xml:space="preserve">SOE </w:t>
            </w:r>
          </w:p>
        </w:tc>
        <w:tc>
          <w:tcPr>
            <w:tcW w:w="876" w:type="dxa"/>
            <w:tcBorders>
              <w:top w:val="single" w:sz="4" w:space="0" w:color="000000"/>
              <w:left w:val="single" w:sz="4" w:space="0" w:color="000000"/>
              <w:bottom w:val="single" w:sz="4" w:space="0" w:color="000000"/>
              <w:right w:val="single" w:sz="4" w:space="0" w:color="000000"/>
            </w:tcBorders>
            <w:vAlign w:val="center"/>
          </w:tcPr>
          <w:p w14:paraId="40747C9A" w14:textId="77777777" w:rsidR="009C7506" w:rsidRDefault="008B3AB3">
            <w:pPr>
              <w:spacing w:after="0" w:line="259" w:lineRule="auto"/>
              <w:ind w:left="0" w:right="60" w:firstLine="0"/>
              <w:jc w:val="center"/>
            </w:pPr>
            <w:r>
              <w:t xml:space="preserve">190 </w:t>
            </w:r>
          </w:p>
        </w:tc>
        <w:tc>
          <w:tcPr>
            <w:tcW w:w="1054" w:type="dxa"/>
            <w:tcBorders>
              <w:top w:val="single" w:sz="4" w:space="0" w:color="000000"/>
              <w:left w:val="single" w:sz="4" w:space="0" w:color="000000"/>
              <w:bottom w:val="single" w:sz="4" w:space="0" w:color="000000"/>
              <w:right w:val="single" w:sz="4" w:space="0" w:color="000000"/>
            </w:tcBorders>
            <w:vAlign w:val="center"/>
          </w:tcPr>
          <w:p w14:paraId="4FDCE69A" w14:textId="77777777" w:rsidR="009C7506" w:rsidRDefault="008B3AB3">
            <w:pPr>
              <w:spacing w:after="0" w:line="259" w:lineRule="auto"/>
              <w:ind w:left="0" w:right="58" w:firstLine="0"/>
              <w:jc w:val="center"/>
            </w:pPr>
            <w:r>
              <w:t xml:space="preserve">0.258 </w:t>
            </w:r>
          </w:p>
        </w:tc>
        <w:tc>
          <w:tcPr>
            <w:tcW w:w="1366" w:type="dxa"/>
            <w:tcBorders>
              <w:top w:val="single" w:sz="4" w:space="0" w:color="000000"/>
              <w:left w:val="single" w:sz="4" w:space="0" w:color="000000"/>
              <w:bottom w:val="single" w:sz="4" w:space="0" w:color="000000"/>
              <w:right w:val="single" w:sz="4" w:space="0" w:color="000000"/>
            </w:tcBorders>
            <w:vAlign w:val="center"/>
          </w:tcPr>
          <w:p w14:paraId="688786CC" w14:textId="77777777" w:rsidR="009C7506" w:rsidRDefault="008B3AB3">
            <w:pPr>
              <w:spacing w:after="0" w:line="259" w:lineRule="auto"/>
              <w:ind w:left="0" w:right="58" w:firstLine="0"/>
              <w:jc w:val="center"/>
            </w:pPr>
            <w:r>
              <w:t xml:space="preserve">0.439 </w:t>
            </w:r>
          </w:p>
        </w:tc>
        <w:tc>
          <w:tcPr>
            <w:tcW w:w="995" w:type="dxa"/>
            <w:tcBorders>
              <w:top w:val="single" w:sz="4" w:space="0" w:color="000000"/>
              <w:left w:val="single" w:sz="4" w:space="0" w:color="000000"/>
              <w:bottom w:val="single" w:sz="4" w:space="0" w:color="000000"/>
              <w:right w:val="single" w:sz="4" w:space="0" w:color="000000"/>
            </w:tcBorders>
            <w:vAlign w:val="center"/>
          </w:tcPr>
          <w:p w14:paraId="324B2CAE" w14:textId="77777777" w:rsidR="009C7506" w:rsidRDefault="008B3AB3">
            <w:pPr>
              <w:spacing w:after="0" w:line="259" w:lineRule="auto"/>
              <w:ind w:left="0" w:right="49" w:firstLine="0"/>
              <w:jc w:val="center"/>
            </w:pPr>
            <w:r>
              <w:t xml:space="preserve">0 </w:t>
            </w:r>
          </w:p>
        </w:tc>
        <w:tc>
          <w:tcPr>
            <w:tcW w:w="997" w:type="dxa"/>
            <w:tcBorders>
              <w:top w:val="single" w:sz="4" w:space="0" w:color="000000"/>
              <w:left w:val="single" w:sz="4" w:space="0" w:color="000000"/>
              <w:bottom w:val="single" w:sz="4" w:space="0" w:color="000000"/>
              <w:right w:val="nil"/>
            </w:tcBorders>
            <w:vAlign w:val="center"/>
          </w:tcPr>
          <w:p w14:paraId="08FDF09F" w14:textId="77777777" w:rsidR="009C7506" w:rsidRDefault="008B3AB3">
            <w:pPr>
              <w:spacing w:after="0" w:line="259" w:lineRule="auto"/>
              <w:ind w:left="0" w:right="49" w:firstLine="0"/>
              <w:jc w:val="center"/>
            </w:pPr>
            <w:r>
              <w:t xml:space="preserve">1 </w:t>
            </w:r>
          </w:p>
        </w:tc>
      </w:tr>
      <w:tr w:rsidR="009C7506" w14:paraId="632C30D6" w14:textId="77777777">
        <w:trPr>
          <w:trHeight w:val="480"/>
        </w:trPr>
        <w:tc>
          <w:tcPr>
            <w:tcW w:w="0" w:type="auto"/>
            <w:vMerge/>
            <w:tcBorders>
              <w:top w:val="nil"/>
              <w:left w:val="nil"/>
              <w:bottom w:val="single" w:sz="4" w:space="0" w:color="000000"/>
              <w:right w:val="single" w:sz="4" w:space="0" w:color="000000"/>
            </w:tcBorders>
          </w:tcPr>
          <w:p w14:paraId="7DB9E809" w14:textId="77777777" w:rsidR="009C7506" w:rsidRDefault="009C7506">
            <w:pPr>
              <w:spacing w:after="160" w:line="259" w:lineRule="auto"/>
              <w:ind w:left="0" w:right="0" w:firstLine="0"/>
              <w:jc w:val="left"/>
            </w:pPr>
          </w:p>
        </w:tc>
        <w:tc>
          <w:tcPr>
            <w:tcW w:w="1335" w:type="dxa"/>
            <w:tcBorders>
              <w:top w:val="single" w:sz="4" w:space="0" w:color="000000"/>
              <w:left w:val="single" w:sz="4" w:space="0" w:color="000000"/>
              <w:bottom w:val="single" w:sz="4" w:space="0" w:color="000000"/>
              <w:right w:val="single" w:sz="4" w:space="0" w:color="000000"/>
            </w:tcBorders>
            <w:vAlign w:val="center"/>
          </w:tcPr>
          <w:p w14:paraId="60079555" w14:textId="77777777" w:rsidR="009C7506" w:rsidRDefault="008B3AB3">
            <w:pPr>
              <w:spacing w:after="0" w:line="259" w:lineRule="auto"/>
              <w:ind w:left="0" w:right="59" w:firstLine="0"/>
              <w:jc w:val="center"/>
            </w:pPr>
            <w:r>
              <w:rPr>
                <w:i/>
              </w:rPr>
              <w:t xml:space="preserve">UNDRR </w:t>
            </w:r>
          </w:p>
        </w:tc>
        <w:tc>
          <w:tcPr>
            <w:tcW w:w="876" w:type="dxa"/>
            <w:tcBorders>
              <w:top w:val="single" w:sz="4" w:space="0" w:color="000000"/>
              <w:left w:val="single" w:sz="4" w:space="0" w:color="000000"/>
              <w:bottom w:val="single" w:sz="4" w:space="0" w:color="000000"/>
              <w:right w:val="single" w:sz="4" w:space="0" w:color="000000"/>
            </w:tcBorders>
            <w:vAlign w:val="center"/>
          </w:tcPr>
          <w:p w14:paraId="1DF8C5A8" w14:textId="77777777" w:rsidR="009C7506" w:rsidRDefault="008B3AB3">
            <w:pPr>
              <w:spacing w:after="0" w:line="259" w:lineRule="auto"/>
              <w:ind w:left="0" w:right="60" w:firstLine="0"/>
              <w:jc w:val="center"/>
            </w:pPr>
            <w:r>
              <w:t xml:space="preserve">190 </w:t>
            </w:r>
          </w:p>
        </w:tc>
        <w:tc>
          <w:tcPr>
            <w:tcW w:w="1054" w:type="dxa"/>
            <w:tcBorders>
              <w:top w:val="single" w:sz="4" w:space="0" w:color="000000"/>
              <w:left w:val="single" w:sz="4" w:space="0" w:color="000000"/>
              <w:bottom w:val="single" w:sz="4" w:space="0" w:color="000000"/>
              <w:right w:val="single" w:sz="4" w:space="0" w:color="000000"/>
            </w:tcBorders>
            <w:vAlign w:val="center"/>
          </w:tcPr>
          <w:p w14:paraId="6BC38775" w14:textId="77777777" w:rsidR="009C7506" w:rsidRDefault="008B3AB3">
            <w:pPr>
              <w:spacing w:after="0" w:line="259" w:lineRule="auto"/>
              <w:ind w:left="0" w:right="58" w:firstLine="0"/>
              <w:jc w:val="center"/>
            </w:pPr>
            <w:r>
              <w:t xml:space="preserve">0.495 </w:t>
            </w:r>
          </w:p>
        </w:tc>
        <w:tc>
          <w:tcPr>
            <w:tcW w:w="1366" w:type="dxa"/>
            <w:tcBorders>
              <w:top w:val="single" w:sz="4" w:space="0" w:color="000000"/>
              <w:left w:val="single" w:sz="4" w:space="0" w:color="000000"/>
              <w:bottom w:val="single" w:sz="4" w:space="0" w:color="000000"/>
              <w:right w:val="single" w:sz="4" w:space="0" w:color="000000"/>
            </w:tcBorders>
            <w:vAlign w:val="center"/>
          </w:tcPr>
          <w:p w14:paraId="47309401" w14:textId="77777777" w:rsidR="009C7506" w:rsidRDefault="008B3AB3">
            <w:pPr>
              <w:spacing w:after="0" w:line="259" w:lineRule="auto"/>
              <w:ind w:left="0" w:right="58" w:firstLine="0"/>
              <w:jc w:val="center"/>
            </w:pPr>
            <w:r>
              <w:t xml:space="preserve">0.501 </w:t>
            </w:r>
          </w:p>
        </w:tc>
        <w:tc>
          <w:tcPr>
            <w:tcW w:w="995" w:type="dxa"/>
            <w:tcBorders>
              <w:top w:val="single" w:sz="4" w:space="0" w:color="000000"/>
              <w:left w:val="single" w:sz="4" w:space="0" w:color="000000"/>
              <w:bottom w:val="single" w:sz="4" w:space="0" w:color="000000"/>
              <w:right w:val="single" w:sz="4" w:space="0" w:color="000000"/>
            </w:tcBorders>
            <w:vAlign w:val="center"/>
          </w:tcPr>
          <w:p w14:paraId="2DAAD7FC" w14:textId="77777777" w:rsidR="009C7506" w:rsidRDefault="008B3AB3">
            <w:pPr>
              <w:spacing w:after="0" w:line="259" w:lineRule="auto"/>
              <w:ind w:left="0" w:right="49" w:firstLine="0"/>
              <w:jc w:val="center"/>
            </w:pPr>
            <w:r>
              <w:t xml:space="preserve">0 </w:t>
            </w:r>
          </w:p>
        </w:tc>
        <w:tc>
          <w:tcPr>
            <w:tcW w:w="997" w:type="dxa"/>
            <w:tcBorders>
              <w:top w:val="single" w:sz="4" w:space="0" w:color="000000"/>
              <w:left w:val="single" w:sz="4" w:space="0" w:color="000000"/>
              <w:bottom w:val="single" w:sz="4" w:space="0" w:color="000000"/>
              <w:right w:val="nil"/>
            </w:tcBorders>
            <w:vAlign w:val="center"/>
          </w:tcPr>
          <w:p w14:paraId="0E2CAE6C" w14:textId="77777777" w:rsidR="009C7506" w:rsidRDefault="008B3AB3">
            <w:pPr>
              <w:spacing w:after="0" w:line="259" w:lineRule="auto"/>
              <w:ind w:left="0" w:right="49" w:firstLine="0"/>
              <w:jc w:val="center"/>
            </w:pPr>
            <w:r>
              <w:t xml:space="preserve">1 </w:t>
            </w:r>
          </w:p>
        </w:tc>
      </w:tr>
    </w:tbl>
    <w:p w14:paraId="315A6626" w14:textId="77777777" w:rsidR="009C7506" w:rsidRDefault="008B3AB3">
      <w:pPr>
        <w:ind w:left="21" w:right="45"/>
      </w:pPr>
      <w:r>
        <w:t xml:space="preserve">Data source: RESSET financial database. </w:t>
      </w:r>
    </w:p>
    <w:p w14:paraId="740D8290" w14:textId="77777777" w:rsidR="009C7506" w:rsidRDefault="008B3AB3">
      <w:pPr>
        <w:spacing w:after="41" w:line="259" w:lineRule="auto"/>
        <w:ind w:left="0" w:right="0" w:firstLine="0"/>
        <w:jc w:val="left"/>
      </w:pPr>
      <w:r>
        <w:t xml:space="preserve"> </w:t>
      </w:r>
    </w:p>
    <w:p w14:paraId="4556C872" w14:textId="77777777" w:rsidR="009C7506" w:rsidRDefault="008B3AB3">
      <w:pPr>
        <w:spacing w:after="0" w:line="259" w:lineRule="auto"/>
        <w:ind w:left="0" w:right="1773" w:firstLine="0"/>
        <w:jc w:val="right"/>
      </w:pPr>
      <w:r>
        <w:rPr>
          <w:b/>
        </w:rPr>
        <w:t xml:space="preserve">Table 5 Descriptive statistics of the control variables </w:t>
      </w:r>
    </w:p>
    <w:p w14:paraId="2D549A40" w14:textId="77777777" w:rsidR="009C7506" w:rsidRDefault="008B3AB3">
      <w:pPr>
        <w:spacing w:after="83" w:line="259" w:lineRule="auto"/>
        <w:ind w:left="-108" w:right="-53" w:firstLine="0"/>
        <w:jc w:val="right"/>
      </w:pPr>
      <w:r>
        <w:rPr>
          <w:rFonts w:ascii="Calibri" w:eastAsia="Calibri" w:hAnsi="Calibri" w:cs="Calibri"/>
          <w:noProof/>
        </w:rPr>
        <mc:AlternateContent>
          <mc:Choice Requires="wpg">
            <w:drawing>
              <wp:inline distT="0" distB="0" distL="0" distR="0" wp14:anchorId="5EAAF9A8" wp14:editId="79FEA418">
                <wp:extent cx="5414214" cy="606806"/>
                <wp:effectExtent l="0" t="0" r="0" b="0"/>
                <wp:docPr id="75843" name="Group 758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14214" cy="606806"/>
                          <a:chOff x="0" y="0"/>
                          <a:chExt cx="5414214" cy="606806"/>
                        </a:xfrm>
                      </wpg:grpSpPr>
                      <wps:wsp>
                        <wps:cNvPr id="4506" name="Rectangle 4506"/>
                        <wps:cNvSpPr/>
                        <wps:spPr>
                          <a:xfrm>
                            <a:off x="111252" y="254829"/>
                            <a:ext cx="619848" cy="169632"/>
                          </a:xfrm>
                          <a:prstGeom prst="rect">
                            <a:avLst/>
                          </a:prstGeom>
                          <a:ln>
                            <a:noFill/>
                          </a:ln>
                        </wps:spPr>
                        <wps:txbx>
                          <w:txbxContent>
                            <w:p w14:paraId="71AFEEC9" w14:textId="77777777" w:rsidR="009C7506" w:rsidRDefault="008B3AB3">
                              <w:pPr>
                                <w:spacing w:after="160" w:line="259" w:lineRule="auto"/>
                                <w:ind w:left="0" w:right="0" w:firstLine="0"/>
                                <w:jc w:val="left"/>
                              </w:pPr>
                              <w:r>
                                <w:t>Variable</w:t>
                              </w:r>
                            </w:p>
                          </w:txbxContent>
                        </wps:txbx>
                        <wps:bodyPr horzOverflow="overflow" vert="horz" lIns="0" tIns="0" rIns="0" bIns="0" rtlCol="0">
                          <a:noAutofit/>
                        </wps:bodyPr>
                      </wps:wsp>
                      <wps:wsp>
                        <wps:cNvPr id="4507" name="Rectangle 4507"/>
                        <wps:cNvSpPr/>
                        <wps:spPr>
                          <a:xfrm>
                            <a:off x="576021" y="254829"/>
                            <a:ext cx="46619" cy="169632"/>
                          </a:xfrm>
                          <a:prstGeom prst="rect">
                            <a:avLst/>
                          </a:prstGeom>
                          <a:ln>
                            <a:noFill/>
                          </a:ln>
                        </wps:spPr>
                        <wps:txbx>
                          <w:txbxContent>
                            <w:p w14:paraId="15B35A2B" w14:textId="77777777" w:rsidR="009C7506" w:rsidRDefault="008B3AB3">
                              <w:pPr>
                                <w:spacing w:after="160" w:line="259" w:lineRule="auto"/>
                                <w:ind w:left="0" w:right="0" w:firstLine="0"/>
                                <w:jc w:val="left"/>
                              </w:pPr>
                              <w:r>
                                <w:t xml:space="preserve"> </w:t>
                              </w:r>
                            </w:p>
                          </w:txbxContent>
                        </wps:txbx>
                        <wps:bodyPr horzOverflow="overflow" vert="horz" lIns="0" tIns="0" rIns="0" bIns="0" rtlCol="0">
                          <a:noAutofit/>
                        </wps:bodyPr>
                      </wps:wsp>
                      <wps:wsp>
                        <wps:cNvPr id="4508" name="Rectangle 4508"/>
                        <wps:cNvSpPr/>
                        <wps:spPr>
                          <a:xfrm>
                            <a:off x="1162761" y="254829"/>
                            <a:ext cx="765673" cy="169632"/>
                          </a:xfrm>
                          <a:prstGeom prst="rect">
                            <a:avLst/>
                          </a:prstGeom>
                          <a:ln>
                            <a:noFill/>
                          </a:ln>
                        </wps:spPr>
                        <wps:txbx>
                          <w:txbxContent>
                            <w:p w14:paraId="61E08A97" w14:textId="77777777" w:rsidR="009C7506" w:rsidRDefault="008B3AB3">
                              <w:pPr>
                                <w:spacing w:after="160" w:line="259" w:lineRule="auto"/>
                                <w:ind w:left="0" w:right="0" w:firstLine="0"/>
                                <w:jc w:val="left"/>
                              </w:pPr>
                              <w:r>
                                <w:t>Definition</w:t>
                              </w:r>
                            </w:p>
                          </w:txbxContent>
                        </wps:txbx>
                        <wps:bodyPr horzOverflow="overflow" vert="horz" lIns="0" tIns="0" rIns="0" bIns="0" rtlCol="0">
                          <a:noAutofit/>
                        </wps:bodyPr>
                      </wps:wsp>
                      <wps:wsp>
                        <wps:cNvPr id="4509" name="Rectangle 4509"/>
                        <wps:cNvSpPr/>
                        <wps:spPr>
                          <a:xfrm>
                            <a:off x="1737690" y="254829"/>
                            <a:ext cx="46619" cy="169632"/>
                          </a:xfrm>
                          <a:prstGeom prst="rect">
                            <a:avLst/>
                          </a:prstGeom>
                          <a:ln>
                            <a:noFill/>
                          </a:ln>
                        </wps:spPr>
                        <wps:txbx>
                          <w:txbxContent>
                            <w:p w14:paraId="5074C8EA" w14:textId="77777777" w:rsidR="009C7506" w:rsidRDefault="008B3AB3">
                              <w:pPr>
                                <w:spacing w:after="160" w:line="259" w:lineRule="auto"/>
                                <w:ind w:left="0" w:right="0" w:firstLine="0"/>
                                <w:jc w:val="left"/>
                              </w:pPr>
                              <w:r>
                                <w:t xml:space="preserve"> </w:t>
                              </w:r>
                            </w:p>
                          </w:txbxContent>
                        </wps:txbx>
                        <wps:bodyPr horzOverflow="overflow" vert="horz" lIns="0" tIns="0" rIns="0" bIns="0" rtlCol="0">
                          <a:noAutofit/>
                        </wps:bodyPr>
                      </wps:wsp>
                      <wps:wsp>
                        <wps:cNvPr id="4512" name="Rectangle 4512"/>
                        <wps:cNvSpPr/>
                        <wps:spPr>
                          <a:xfrm>
                            <a:off x="2281759" y="404435"/>
                            <a:ext cx="554955" cy="169632"/>
                          </a:xfrm>
                          <a:prstGeom prst="rect">
                            <a:avLst/>
                          </a:prstGeom>
                          <a:ln>
                            <a:noFill/>
                          </a:ln>
                        </wps:spPr>
                        <wps:txbx>
                          <w:txbxContent>
                            <w:p w14:paraId="3290AD2E" w14:textId="77777777" w:rsidR="009C7506" w:rsidRDefault="008B3AB3">
                              <w:pPr>
                                <w:spacing w:after="160" w:line="259" w:lineRule="auto"/>
                                <w:ind w:left="0" w:right="0" w:firstLine="0"/>
                                <w:jc w:val="left"/>
                              </w:pPr>
                              <w:r>
                                <w:t>volume</w:t>
                              </w:r>
                            </w:p>
                          </w:txbxContent>
                        </wps:txbx>
                        <wps:bodyPr horzOverflow="overflow" vert="horz" lIns="0" tIns="0" rIns="0" bIns="0" rtlCol="0">
                          <a:noAutofit/>
                        </wps:bodyPr>
                      </wps:wsp>
                      <wps:wsp>
                        <wps:cNvPr id="4513" name="Rectangle 4513"/>
                        <wps:cNvSpPr/>
                        <wps:spPr>
                          <a:xfrm>
                            <a:off x="2701112" y="404435"/>
                            <a:ext cx="46619" cy="169632"/>
                          </a:xfrm>
                          <a:prstGeom prst="rect">
                            <a:avLst/>
                          </a:prstGeom>
                          <a:ln>
                            <a:noFill/>
                          </a:ln>
                        </wps:spPr>
                        <wps:txbx>
                          <w:txbxContent>
                            <w:p w14:paraId="7309EDF7" w14:textId="77777777" w:rsidR="009C7506" w:rsidRDefault="008B3AB3">
                              <w:pPr>
                                <w:spacing w:after="160" w:line="259" w:lineRule="auto"/>
                                <w:ind w:left="0" w:right="0" w:firstLine="0"/>
                                <w:jc w:val="left"/>
                              </w:pPr>
                              <w:r>
                                <w:t xml:space="preserve"> </w:t>
                              </w:r>
                            </w:p>
                          </w:txbxContent>
                        </wps:txbx>
                        <wps:bodyPr horzOverflow="overflow" vert="horz" lIns="0" tIns="0" rIns="0" bIns="0" rtlCol="0">
                          <a:noAutofit/>
                        </wps:bodyPr>
                      </wps:wsp>
                      <wps:wsp>
                        <wps:cNvPr id="4520" name="Rectangle 4520"/>
                        <wps:cNvSpPr/>
                        <wps:spPr>
                          <a:xfrm>
                            <a:off x="3502736" y="404435"/>
                            <a:ext cx="692947" cy="169632"/>
                          </a:xfrm>
                          <a:prstGeom prst="rect">
                            <a:avLst/>
                          </a:prstGeom>
                          <a:ln>
                            <a:noFill/>
                          </a:ln>
                        </wps:spPr>
                        <wps:txbx>
                          <w:txbxContent>
                            <w:p w14:paraId="607566E2" w14:textId="77777777" w:rsidR="009C7506" w:rsidRDefault="008B3AB3">
                              <w:pPr>
                                <w:spacing w:after="160" w:line="259" w:lineRule="auto"/>
                                <w:ind w:left="0" w:right="0" w:firstLine="0"/>
                                <w:jc w:val="left"/>
                              </w:pPr>
                              <w:r>
                                <w:t>deviation</w:t>
                              </w:r>
                            </w:p>
                          </w:txbxContent>
                        </wps:txbx>
                        <wps:bodyPr horzOverflow="overflow" vert="horz" lIns="0" tIns="0" rIns="0" bIns="0" rtlCol="0">
                          <a:noAutofit/>
                        </wps:bodyPr>
                      </wps:wsp>
                      <wps:wsp>
                        <wps:cNvPr id="4521" name="Rectangle 4521"/>
                        <wps:cNvSpPr/>
                        <wps:spPr>
                          <a:xfrm>
                            <a:off x="4023944" y="404435"/>
                            <a:ext cx="62097" cy="169632"/>
                          </a:xfrm>
                          <a:prstGeom prst="rect">
                            <a:avLst/>
                          </a:prstGeom>
                          <a:ln>
                            <a:noFill/>
                          </a:ln>
                        </wps:spPr>
                        <wps:txbx>
                          <w:txbxContent>
                            <w:p w14:paraId="6EE80809" w14:textId="77777777" w:rsidR="009C7506" w:rsidRDefault="008B3AB3">
                              <w:pPr>
                                <w:spacing w:after="160" w:line="259" w:lineRule="auto"/>
                                <w:ind w:left="0" w:right="0" w:firstLine="0"/>
                                <w:jc w:val="left"/>
                              </w:pPr>
                              <w:r>
                                <w:t>(</w:t>
                              </w:r>
                            </w:p>
                          </w:txbxContent>
                        </wps:txbx>
                        <wps:bodyPr horzOverflow="overflow" vert="horz" lIns="0" tIns="0" rIns="0" bIns="0" rtlCol="0">
                          <a:noAutofit/>
                        </wps:bodyPr>
                      </wps:wsp>
                      <wps:wsp>
                        <wps:cNvPr id="4522" name="Rectangle 4522"/>
                        <wps:cNvSpPr/>
                        <wps:spPr>
                          <a:xfrm>
                            <a:off x="4069665" y="404435"/>
                            <a:ext cx="155335" cy="169632"/>
                          </a:xfrm>
                          <a:prstGeom prst="rect">
                            <a:avLst/>
                          </a:prstGeom>
                          <a:ln>
                            <a:noFill/>
                          </a:ln>
                        </wps:spPr>
                        <wps:txbx>
                          <w:txbxContent>
                            <w:p w14:paraId="6A0EF739" w14:textId="77777777" w:rsidR="009C7506" w:rsidRDefault="008B3AB3">
                              <w:pPr>
                                <w:spacing w:after="160" w:line="259" w:lineRule="auto"/>
                                <w:ind w:left="0" w:right="0" w:firstLine="0"/>
                                <w:jc w:val="left"/>
                              </w:pPr>
                              <w:r>
                                <w:t>%</w:t>
                              </w:r>
                            </w:p>
                          </w:txbxContent>
                        </wps:txbx>
                        <wps:bodyPr horzOverflow="overflow" vert="horz" lIns="0" tIns="0" rIns="0" bIns="0" rtlCol="0">
                          <a:noAutofit/>
                        </wps:bodyPr>
                      </wps:wsp>
                      <wps:wsp>
                        <wps:cNvPr id="4523" name="Rectangle 4523"/>
                        <wps:cNvSpPr/>
                        <wps:spPr>
                          <a:xfrm>
                            <a:off x="4187012" y="404435"/>
                            <a:ext cx="62097" cy="169632"/>
                          </a:xfrm>
                          <a:prstGeom prst="rect">
                            <a:avLst/>
                          </a:prstGeom>
                          <a:ln>
                            <a:noFill/>
                          </a:ln>
                        </wps:spPr>
                        <wps:txbx>
                          <w:txbxContent>
                            <w:p w14:paraId="3C89109F" w14:textId="77777777" w:rsidR="009C7506" w:rsidRDefault="008B3AB3">
                              <w:pPr>
                                <w:spacing w:after="160" w:line="259" w:lineRule="auto"/>
                                <w:ind w:left="0" w:right="0" w:firstLine="0"/>
                                <w:jc w:val="left"/>
                              </w:pPr>
                              <w:r>
                                <w:t>)</w:t>
                              </w:r>
                            </w:p>
                          </w:txbxContent>
                        </wps:txbx>
                        <wps:bodyPr horzOverflow="overflow" vert="horz" lIns="0" tIns="0" rIns="0" bIns="0" rtlCol="0">
                          <a:noAutofit/>
                        </wps:bodyPr>
                      </wps:wsp>
                      <wps:wsp>
                        <wps:cNvPr id="4524" name="Rectangle 4524"/>
                        <wps:cNvSpPr/>
                        <wps:spPr>
                          <a:xfrm>
                            <a:off x="4233114" y="404435"/>
                            <a:ext cx="46619" cy="169632"/>
                          </a:xfrm>
                          <a:prstGeom prst="rect">
                            <a:avLst/>
                          </a:prstGeom>
                          <a:ln>
                            <a:noFill/>
                          </a:ln>
                        </wps:spPr>
                        <wps:txbx>
                          <w:txbxContent>
                            <w:p w14:paraId="136119CC" w14:textId="77777777" w:rsidR="009C7506" w:rsidRDefault="008B3AB3">
                              <w:pPr>
                                <w:spacing w:after="160" w:line="259" w:lineRule="auto"/>
                                <w:ind w:left="0" w:right="0" w:firstLine="0"/>
                                <w:jc w:val="left"/>
                              </w:pPr>
                              <w:r>
                                <w:t xml:space="preserve"> </w:t>
                              </w:r>
                            </w:p>
                          </w:txbxContent>
                        </wps:txbx>
                        <wps:bodyPr horzOverflow="overflow" vert="horz" lIns="0" tIns="0" rIns="0" bIns="0" rtlCol="0">
                          <a:noAutofit/>
                        </wps:bodyPr>
                      </wps:wsp>
                      <wps:wsp>
                        <wps:cNvPr id="4525" name="Rectangle 4525"/>
                        <wps:cNvSpPr/>
                        <wps:spPr>
                          <a:xfrm>
                            <a:off x="4444949" y="107001"/>
                            <a:ext cx="165778" cy="169632"/>
                          </a:xfrm>
                          <a:prstGeom prst="rect">
                            <a:avLst/>
                          </a:prstGeom>
                          <a:ln>
                            <a:noFill/>
                          </a:ln>
                        </wps:spPr>
                        <wps:txbx>
                          <w:txbxContent>
                            <w:p w14:paraId="77CA501F" w14:textId="77777777" w:rsidR="009C7506" w:rsidRDefault="008B3AB3">
                              <w:pPr>
                                <w:spacing w:after="160" w:line="259" w:lineRule="auto"/>
                                <w:ind w:left="0" w:right="0" w:firstLine="0"/>
                                <w:jc w:val="left"/>
                              </w:pPr>
                              <w:r>
                                <w:t>M</w:t>
                              </w:r>
                            </w:p>
                          </w:txbxContent>
                        </wps:txbx>
                        <wps:bodyPr horzOverflow="overflow" vert="horz" lIns="0" tIns="0" rIns="0" bIns="0" rtlCol="0">
                          <a:noAutofit/>
                        </wps:bodyPr>
                      </wps:wsp>
                      <wps:wsp>
                        <wps:cNvPr id="4526" name="Rectangle 4526"/>
                        <wps:cNvSpPr/>
                        <wps:spPr>
                          <a:xfrm>
                            <a:off x="4569917" y="107001"/>
                            <a:ext cx="192444" cy="169632"/>
                          </a:xfrm>
                          <a:prstGeom prst="rect">
                            <a:avLst/>
                          </a:prstGeom>
                          <a:ln>
                            <a:noFill/>
                          </a:ln>
                        </wps:spPr>
                        <wps:txbx>
                          <w:txbxContent>
                            <w:p w14:paraId="2878B8CB" w14:textId="77777777" w:rsidR="009C7506" w:rsidRDefault="008B3AB3">
                              <w:pPr>
                                <w:spacing w:after="160" w:line="259" w:lineRule="auto"/>
                                <w:ind w:left="0" w:right="0" w:firstLine="0"/>
                                <w:jc w:val="left"/>
                              </w:pPr>
                              <w:r>
                                <w:t xml:space="preserve">in </w:t>
                              </w:r>
                            </w:p>
                          </w:txbxContent>
                        </wps:txbx>
                        <wps:bodyPr horzOverflow="overflow" vert="horz" lIns="0" tIns="0" rIns="0" bIns="0" rtlCol="0">
                          <a:noAutofit/>
                        </wps:bodyPr>
                      </wps:wsp>
                      <wps:wsp>
                        <wps:cNvPr id="4527" name="Rectangle 4527"/>
                        <wps:cNvSpPr/>
                        <wps:spPr>
                          <a:xfrm>
                            <a:off x="4748226" y="107001"/>
                            <a:ext cx="46619" cy="169632"/>
                          </a:xfrm>
                          <a:prstGeom prst="rect">
                            <a:avLst/>
                          </a:prstGeom>
                          <a:ln>
                            <a:noFill/>
                          </a:ln>
                        </wps:spPr>
                        <wps:txbx>
                          <w:txbxContent>
                            <w:p w14:paraId="0FC06E75" w14:textId="77777777" w:rsidR="009C7506" w:rsidRDefault="008B3AB3">
                              <w:pPr>
                                <w:spacing w:after="160" w:line="259" w:lineRule="auto"/>
                                <w:ind w:left="0" w:right="0" w:firstLine="0"/>
                                <w:jc w:val="left"/>
                              </w:pPr>
                              <w:r>
                                <w:t xml:space="preserve"> </w:t>
                              </w:r>
                            </w:p>
                          </w:txbxContent>
                        </wps:txbx>
                        <wps:bodyPr horzOverflow="overflow" vert="horz" lIns="0" tIns="0" rIns="0" bIns="0" rtlCol="0">
                          <a:noAutofit/>
                        </wps:bodyPr>
                      </wps:wsp>
                      <wps:wsp>
                        <wps:cNvPr id="4528" name="Rectangle 4528"/>
                        <wps:cNvSpPr/>
                        <wps:spPr>
                          <a:xfrm>
                            <a:off x="4457141" y="404435"/>
                            <a:ext cx="62097" cy="169632"/>
                          </a:xfrm>
                          <a:prstGeom prst="rect">
                            <a:avLst/>
                          </a:prstGeom>
                          <a:ln>
                            <a:noFill/>
                          </a:ln>
                        </wps:spPr>
                        <wps:txbx>
                          <w:txbxContent>
                            <w:p w14:paraId="768C35B4" w14:textId="77777777" w:rsidR="009C7506" w:rsidRDefault="008B3AB3">
                              <w:pPr>
                                <w:spacing w:after="160" w:line="259" w:lineRule="auto"/>
                                <w:ind w:left="0" w:right="0" w:firstLine="0"/>
                                <w:jc w:val="left"/>
                              </w:pPr>
                              <w:r>
                                <w:t>(</w:t>
                              </w:r>
                            </w:p>
                          </w:txbxContent>
                        </wps:txbx>
                        <wps:bodyPr horzOverflow="overflow" vert="horz" lIns="0" tIns="0" rIns="0" bIns="0" rtlCol="0">
                          <a:noAutofit/>
                        </wps:bodyPr>
                      </wps:wsp>
                      <wps:wsp>
                        <wps:cNvPr id="4529" name="Rectangle 4529"/>
                        <wps:cNvSpPr/>
                        <wps:spPr>
                          <a:xfrm>
                            <a:off x="4504385" y="404435"/>
                            <a:ext cx="155335" cy="169632"/>
                          </a:xfrm>
                          <a:prstGeom prst="rect">
                            <a:avLst/>
                          </a:prstGeom>
                          <a:ln>
                            <a:noFill/>
                          </a:ln>
                        </wps:spPr>
                        <wps:txbx>
                          <w:txbxContent>
                            <w:p w14:paraId="05CDB953" w14:textId="77777777" w:rsidR="009C7506" w:rsidRDefault="008B3AB3">
                              <w:pPr>
                                <w:spacing w:after="160" w:line="259" w:lineRule="auto"/>
                                <w:ind w:left="0" w:right="0" w:firstLine="0"/>
                                <w:jc w:val="left"/>
                              </w:pPr>
                              <w:r>
                                <w:t>%</w:t>
                              </w:r>
                            </w:p>
                          </w:txbxContent>
                        </wps:txbx>
                        <wps:bodyPr horzOverflow="overflow" vert="horz" lIns="0" tIns="0" rIns="0" bIns="0" rtlCol="0">
                          <a:noAutofit/>
                        </wps:bodyPr>
                      </wps:wsp>
                      <wps:wsp>
                        <wps:cNvPr id="4530" name="Rectangle 4530"/>
                        <wps:cNvSpPr/>
                        <wps:spPr>
                          <a:xfrm>
                            <a:off x="4620210" y="404435"/>
                            <a:ext cx="62097" cy="169632"/>
                          </a:xfrm>
                          <a:prstGeom prst="rect">
                            <a:avLst/>
                          </a:prstGeom>
                          <a:ln>
                            <a:noFill/>
                          </a:ln>
                        </wps:spPr>
                        <wps:txbx>
                          <w:txbxContent>
                            <w:p w14:paraId="230487A6" w14:textId="77777777" w:rsidR="009C7506" w:rsidRDefault="008B3AB3">
                              <w:pPr>
                                <w:spacing w:after="160" w:line="259" w:lineRule="auto"/>
                                <w:ind w:left="0" w:right="0" w:firstLine="0"/>
                                <w:jc w:val="left"/>
                              </w:pPr>
                              <w:r>
                                <w:t>)</w:t>
                              </w:r>
                            </w:p>
                          </w:txbxContent>
                        </wps:txbx>
                        <wps:bodyPr horzOverflow="overflow" vert="horz" lIns="0" tIns="0" rIns="0" bIns="0" rtlCol="0">
                          <a:noAutofit/>
                        </wps:bodyPr>
                      </wps:wsp>
                      <wps:wsp>
                        <wps:cNvPr id="4531" name="Rectangle 4531"/>
                        <wps:cNvSpPr/>
                        <wps:spPr>
                          <a:xfrm>
                            <a:off x="4665929" y="404435"/>
                            <a:ext cx="46619" cy="169632"/>
                          </a:xfrm>
                          <a:prstGeom prst="rect">
                            <a:avLst/>
                          </a:prstGeom>
                          <a:ln>
                            <a:noFill/>
                          </a:ln>
                        </wps:spPr>
                        <wps:txbx>
                          <w:txbxContent>
                            <w:p w14:paraId="1D9F5084" w14:textId="77777777" w:rsidR="009C7506" w:rsidRDefault="008B3AB3">
                              <w:pPr>
                                <w:spacing w:after="160" w:line="259" w:lineRule="auto"/>
                                <w:ind w:left="0" w:right="0" w:firstLine="0"/>
                                <w:jc w:val="left"/>
                              </w:pPr>
                              <w:r>
                                <w:t xml:space="preserve"> </w:t>
                              </w:r>
                            </w:p>
                          </w:txbxContent>
                        </wps:txbx>
                        <wps:bodyPr horzOverflow="overflow" vert="horz" lIns="0" tIns="0" rIns="0" bIns="0" rtlCol="0">
                          <a:noAutofit/>
                        </wps:bodyPr>
                      </wps:wsp>
                      <wps:wsp>
                        <wps:cNvPr id="4532" name="Rectangle 4532"/>
                        <wps:cNvSpPr/>
                        <wps:spPr>
                          <a:xfrm>
                            <a:off x="4989017" y="107001"/>
                            <a:ext cx="165777" cy="169632"/>
                          </a:xfrm>
                          <a:prstGeom prst="rect">
                            <a:avLst/>
                          </a:prstGeom>
                          <a:ln>
                            <a:noFill/>
                          </a:ln>
                        </wps:spPr>
                        <wps:txbx>
                          <w:txbxContent>
                            <w:p w14:paraId="5B8DA763" w14:textId="77777777" w:rsidR="009C7506" w:rsidRDefault="008B3AB3">
                              <w:pPr>
                                <w:spacing w:after="160" w:line="259" w:lineRule="auto"/>
                                <w:ind w:left="0" w:right="0" w:firstLine="0"/>
                                <w:jc w:val="left"/>
                              </w:pPr>
                              <w:r>
                                <w:t>M</w:t>
                              </w:r>
                            </w:p>
                          </w:txbxContent>
                        </wps:txbx>
                        <wps:bodyPr horzOverflow="overflow" vert="horz" lIns="0" tIns="0" rIns="0" bIns="0" rtlCol="0">
                          <a:noAutofit/>
                        </wps:bodyPr>
                      </wps:wsp>
                      <wps:wsp>
                        <wps:cNvPr id="4533" name="Rectangle 4533"/>
                        <wps:cNvSpPr/>
                        <wps:spPr>
                          <a:xfrm>
                            <a:off x="5113985" y="107001"/>
                            <a:ext cx="222653" cy="169632"/>
                          </a:xfrm>
                          <a:prstGeom prst="rect">
                            <a:avLst/>
                          </a:prstGeom>
                          <a:ln>
                            <a:noFill/>
                          </a:ln>
                        </wps:spPr>
                        <wps:txbx>
                          <w:txbxContent>
                            <w:p w14:paraId="20021F26" w14:textId="77777777" w:rsidR="009C7506" w:rsidRDefault="008B3AB3">
                              <w:pPr>
                                <w:spacing w:after="160" w:line="259" w:lineRule="auto"/>
                                <w:ind w:left="0" w:right="0" w:firstLine="0"/>
                                <w:jc w:val="left"/>
                              </w:pPr>
                              <w:r>
                                <w:t xml:space="preserve">ax </w:t>
                              </w:r>
                            </w:p>
                          </w:txbxContent>
                        </wps:txbx>
                        <wps:bodyPr horzOverflow="overflow" vert="horz" lIns="0" tIns="0" rIns="0" bIns="0" rtlCol="0">
                          <a:noAutofit/>
                        </wps:bodyPr>
                      </wps:wsp>
                      <wps:wsp>
                        <wps:cNvPr id="4534" name="Rectangle 4534"/>
                        <wps:cNvSpPr/>
                        <wps:spPr>
                          <a:xfrm>
                            <a:off x="5315154" y="107001"/>
                            <a:ext cx="46619" cy="169632"/>
                          </a:xfrm>
                          <a:prstGeom prst="rect">
                            <a:avLst/>
                          </a:prstGeom>
                          <a:ln>
                            <a:noFill/>
                          </a:ln>
                        </wps:spPr>
                        <wps:txbx>
                          <w:txbxContent>
                            <w:p w14:paraId="007116E6" w14:textId="77777777" w:rsidR="009C7506" w:rsidRDefault="008B3AB3">
                              <w:pPr>
                                <w:spacing w:after="160" w:line="259" w:lineRule="auto"/>
                                <w:ind w:left="0" w:right="0" w:firstLine="0"/>
                                <w:jc w:val="left"/>
                              </w:pPr>
                              <w:r>
                                <w:t xml:space="preserve"> </w:t>
                              </w:r>
                            </w:p>
                          </w:txbxContent>
                        </wps:txbx>
                        <wps:bodyPr horzOverflow="overflow" vert="horz" lIns="0" tIns="0" rIns="0" bIns="0" rtlCol="0">
                          <a:noAutofit/>
                        </wps:bodyPr>
                      </wps:wsp>
                      <wps:wsp>
                        <wps:cNvPr id="4535" name="Rectangle 4535"/>
                        <wps:cNvSpPr/>
                        <wps:spPr>
                          <a:xfrm>
                            <a:off x="5013402" y="404435"/>
                            <a:ext cx="62097" cy="169632"/>
                          </a:xfrm>
                          <a:prstGeom prst="rect">
                            <a:avLst/>
                          </a:prstGeom>
                          <a:ln>
                            <a:noFill/>
                          </a:ln>
                        </wps:spPr>
                        <wps:txbx>
                          <w:txbxContent>
                            <w:p w14:paraId="3D051949" w14:textId="77777777" w:rsidR="009C7506" w:rsidRDefault="008B3AB3">
                              <w:pPr>
                                <w:spacing w:after="160" w:line="259" w:lineRule="auto"/>
                                <w:ind w:left="0" w:right="0" w:firstLine="0"/>
                                <w:jc w:val="left"/>
                              </w:pPr>
                              <w:r>
                                <w:t>(</w:t>
                              </w:r>
                            </w:p>
                          </w:txbxContent>
                        </wps:txbx>
                        <wps:bodyPr horzOverflow="overflow" vert="horz" lIns="0" tIns="0" rIns="0" bIns="0" rtlCol="0">
                          <a:noAutofit/>
                        </wps:bodyPr>
                      </wps:wsp>
                      <wps:wsp>
                        <wps:cNvPr id="4536" name="Rectangle 4536"/>
                        <wps:cNvSpPr/>
                        <wps:spPr>
                          <a:xfrm>
                            <a:off x="5060646" y="404435"/>
                            <a:ext cx="155335" cy="169632"/>
                          </a:xfrm>
                          <a:prstGeom prst="rect">
                            <a:avLst/>
                          </a:prstGeom>
                          <a:ln>
                            <a:noFill/>
                          </a:ln>
                        </wps:spPr>
                        <wps:txbx>
                          <w:txbxContent>
                            <w:p w14:paraId="4CC4FE7E" w14:textId="77777777" w:rsidR="009C7506" w:rsidRDefault="008B3AB3">
                              <w:pPr>
                                <w:spacing w:after="160" w:line="259" w:lineRule="auto"/>
                                <w:ind w:left="0" w:right="0" w:firstLine="0"/>
                                <w:jc w:val="left"/>
                              </w:pPr>
                              <w:r>
                                <w:t>%</w:t>
                              </w:r>
                            </w:p>
                          </w:txbxContent>
                        </wps:txbx>
                        <wps:bodyPr horzOverflow="overflow" vert="horz" lIns="0" tIns="0" rIns="0" bIns="0" rtlCol="0">
                          <a:noAutofit/>
                        </wps:bodyPr>
                      </wps:wsp>
                      <wps:wsp>
                        <wps:cNvPr id="4537" name="Rectangle 4537"/>
                        <wps:cNvSpPr/>
                        <wps:spPr>
                          <a:xfrm>
                            <a:off x="5176470" y="404435"/>
                            <a:ext cx="62097" cy="169632"/>
                          </a:xfrm>
                          <a:prstGeom prst="rect">
                            <a:avLst/>
                          </a:prstGeom>
                          <a:ln>
                            <a:noFill/>
                          </a:ln>
                        </wps:spPr>
                        <wps:txbx>
                          <w:txbxContent>
                            <w:p w14:paraId="61B60BB1" w14:textId="77777777" w:rsidR="009C7506" w:rsidRDefault="008B3AB3">
                              <w:pPr>
                                <w:spacing w:after="160" w:line="259" w:lineRule="auto"/>
                                <w:ind w:left="0" w:right="0" w:firstLine="0"/>
                                <w:jc w:val="left"/>
                              </w:pPr>
                              <w:r>
                                <w:t>)</w:t>
                              </w:r>
                            </w:p>
                          </w:txbxContent>
                        </wps:txbx>
                        <wps:bodyPr horzOverflow="overflow" vert="horz" lIns="0" tIns="0" rIns="0" bIns="0" rtlCol="0">
                          <a:noAutofit/>
                        </wps:bodyPr>
                      </wps:wsp>
                      <wps:wsp>
                        <wps:cNvPr id="4538" name="Rectangle 4538"/>
                        <wps:cNvSpPr/>
                        <wps:spPr>
                          <a:xfrm>
                            <a:off x="5222190" y="404435"/>
                            <a:ext cx="46619" cy="169632"/>
                          </a:xfrm>
                          <a:prstGeom prst="rect">
                            <a:avLst/>
                          </a:prstGeom>
                          <a:ln>
                            <a:noFill/>
                          </a:ln>
                        </wps:spPr>
                        <wps:txbx>
                          <w:txbxContent>
                            <w:p w14:paraId="251DA933" w14:textId="77777777" w:rsidR="009C7506" w:rsidRDefault="008B3AB3">
                              <w:pPr>
                                <w:spacing w:after="160" w:line="259" w:lineRule="auto"/>
                                <w:ind w:left="0" w:right="0" w:firstLine="0"/>
                                <w:jc w:val="left"/>
                              </w:pPr>
                              <w:r>
                                <w:t xml:space="preserve"> </w:t>
                              </w:r>
                            </w:p>
                          </w:txbxContent>
                        </wps:txbx>
                        <wps:bodyPr horzOverflow="overflow" vert="horz" lIns="0" tIns="0" rIns="0" bIns="0" rtlCol="0">
                          <a:noAutofit/>
                        </wps:bodyPr>
                      </wps:wsp>
                      <wps:wsp>
                        <wps:cNvPr id="83541" name="Shape 83541"/>
                        <wps:cNvSpPr/>
                        <wps:spPr>
                          <a:xfrm>
                            <a:off x="0" y="0"/>
                            <a:ext cx="685800" cy="9144"/>
                          </a:xfrm>
                          <a:custGeom>
                            <a:avLst/>
                            <a:gdLst/>
                            <a:ahLst/>
                            <a:cxnLst/>
                            <a:rect l="0" t="0" r="0" b="0"/>
                            <a:pathLst>
                              <a:path w="685800" h="9144">
                                <a:moveTo>
                                  <a:pt x="0" y="0"/>
                                </a:moveTo>
                                <a:lnTo>
                                  <a:pt x="685800" y="0"/>
                                </a:lnTo>
                                <a:lnTo>
                                  <a:pt x="685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42" name="Shape 83542"/>
                        <wps:cNvSpPr/>
                        <wps:spPr>
                          <a:xfrm>
                            <a:off x="6857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43" name="Shape 83543"/>
                        <wps:cNvSpPr/>
                        <wps:spPr>
                          <a:xfrm>
                            <a:off x="691845" y="0"/>
                            <a:ext cx="1518158" cy="9144"/>
                          </a:xfrm>
                          <a:custGeom>
                            <a:avLst/>
                            <a:gdLst/>
                            <a:ahLst/>
                            <a:cxnLst/>
                            <a:rect l="0" t="0" r="0" b="0"/>
                            <a:pathLst>
                              <a:path w="1518158" h="9144">
                                <a:moveTo>
                                  <a:pt x="0" y="0"/>
                                </a:moveTo>
                                <a:lnTo>
                                  <a:pt x="1518158" y="0"/>
                                </a:lnTo>
                                <a:lnTo>
                                  <a:pt x="1518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44" name="Shape 83544"/>
                        <wps:cNvSpPr/>
                        <wps:spPr>
                          <a:xfrm>
                            <a:off x="2210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45" name="Shape 83545"/>
                        <wps:cNvSpPr/>
                        <wps:spPr>
                          <a:xfrm>
                            <a:off x="2216226" y="0"/>
                            <a:ext cx="550469" cy="9144"/>
                          </a:xfrm>
                          <a:custGeom>
                            <a:avLst/>
                            <a:gdLst/>
                            <a:ahLst/>
                            <a:cxnLst/>
                            <a:rect l="0" t="0" r="0" b="0"/>
                            <a:pathLst>
                              <a:path w="550469" h="9144">
                                <a:moveTo>
                                  <a:pt x="0" y="0"/>
                                </a:moveTo>
                                <a:lnTo>
                                  <a:pt x="550469" y="0"/>
                                </a:lnTo>
                                <a:lnTo>
                                  <a:pt x="550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46" name="Shape 83546"/>
                        <wps:cNvSpPr/>
                        <wps:spPr>
                          <a:xfrm>
                            <a:off x="27666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47" name="Shape 83547"/>
                        <wps:cNvSpPr/>
                        <wps:spPr>
                          <a:xfrm>
                            <a:off x="2772741" y="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48" name="Shape 83548"/>
                        <wps:cNvSpPr/>
                        <wps:spPr>
                          <a:xfrm>
                            <a:off x="3431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49" name="Shape 83549"/>
                        <wps:cNvSpPr/>
                        <wps:spPr>
                          <a:xfrm>
                            <a:off x="3437204" y="0"/>
                            <a:ext cx="861365" cy="9144"/>
                          </a:xfrm>
                          <a:custGeom>
                            <a:avLst/>
                            <a:gdLst/>
                            <a:ahLst/>
                            <a:cxnLst/>
                            <a:rect l="0" t="0" r="0" b="0"/>
                            <a:pathLst>
                              <a:path w="861365" h="9144">
                                <a:moveTo>
                                  <a:pt x="0" y="0"/>
                                </a:moveTo>
                                <a:lnTo>
                                  <a:pt x="861365" y="0"/>
                                </a:lnTo>
                                <a:lnTo>
                                  <a:pt x="8613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50" name="Shape 83550"/>
                        <wps:cNvSpPr/>
                        <wps:spPr>
                          <a:xfrm>
                            <a:off x="42986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51" name="Shape 83551"/>
                        <wps:cNvSpPr/>
                        <wps:spPr>
                          <a:xfrm>
                            <a:off x="4304741" y="0"/>
                            <a:ext cx="515112" cy="9144"/>
                          </a:xfrm>
                          <a:custGeom>
                            <a:avLst/>
                            <a:gdLst/>
                            <a:ahLst/>
                            <a:cxnLst/>
                            <a:rect l="0" t="0" r="0" b="0"/>
                            <a:pathLst>
                              <a:path w="515112" h="9144">
                                <a:moveTo>
                                  <a:pt x="0" y="0"/>
                                </a:moveTo>
                                <a:lnTo>
                                  <a:pt x="515112" y="0"/>
                                </a:lnTo>
                                <a:lnTo>
                                  <a:pt x="5151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52" name="Shape 83552"/>
                        <wps:cNvSpPr/>
                        <wps:spPr>
                          <a:xfrm>
                            <a:off x="4819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53" name="Shape 83553"/>
                        <wps:cNvSpPr/>
                        <wps:spPr>
                          <a:xfrm>
                            <a:off x="4825949" y="0"/>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54" name="Shape 83554"/>
                        <wps:cNvSpPr/>
                        <wps:spPr>
                          <a:xfrm>
                            <a:off x="685749" y="6045"/>
                            <a:ext cx="9144" cy="594665"/>
                          </a:xfrm>
                          <a:custGeom>
                            <a:avLst/>
                            <a:gdLst/>
                            <a:ahLst/>
                            <a:cxnLst/>
                            <a:rect l="0" t="0" r="0" b="0"/>
                            <a:pathLst>
                              <a:path w="9144" h="594665">
                                <a:moveTo>
                                  <a:pt x="0" y="0"/>
                                </a:moveTo>
                                <a:lnTo>
                                  <a:pt x="9144" y="0"/>
                                </a:lnTo>
                                <a:lnTo>
                                  <a:pt x="9144" y="594665"/>
                                </a:lnTo>
                                <a:lnTo>
                                  <a:pt x="0" y="5946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55" name="Shape 83555"/>
                        <wps:cNvSpPr/>
                        <wps:spPr>
                          <a:xfrm>
                            <a:off x="2210130" y="6045"/>
                            <a:ext cx="9144" cy="594665"/>
                          </a:xfrm>
                          <a:custGeom>
                            <a:avLst/>
                            <a:gdLst/>
                            <a:ahLst/>
                            <a:cxnLst/>
                            <a:rect l="0" t="0" r="0" b="0"/>
                            <a:pathLst>
                              <a:path w="9144" h="594665">
                                <a:moveTo>
                                  <a:pt x="0" y="0"/>
                                </a:moveTo>
                                <a:lnTo>
                                  <a:pt x="9144" y="0"/>
                                </a:lnTo>
                                <a:lnTo>
                                  <a:pt x="9144" y="594665"/>
                                </a:lnTo>
                                <a:lnTo>
                                  <a:pt x="0" y="5946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56" name="Shape 83556"/>
                        <wps:cNvSpPr/>
                        <wps:spPr>
                          <a:xfrm>
                            <a:off x="2766644" y="6045"/>
                            <a:ext cx="9144" cy="594665"/>
                          </a:xfrm>
                          <a:custGeom>
                            <a:avLst/>
                            <a:gdLst/>
                            <a:ahLst/>
                            <a:cxnLst/>
                            <a:rect l="0" t="0" r="0" b="0"/>
                            <a:pathLst>
                              <a:path w="9144" h="594665">
                                <a:moveTo>
                                  <a:pt x="0" y="0"/>
                                </a:moveTo>
                                <a:lnTo>
                                  <a:pt x="9144" y="0"/>
                                </a:lnTo>
                                <a:lnTo>
                                  <a:pt x="9144" y="594665"/>
                                </a:lnTo>
                                <a:lnTo>
                                  <a:pt x="0" y="5946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57" name="Shape 83557"/>
                        <wps:cNvSpPr/>
                        <wps:spPr>
                          <a:xfrm>
                            <a:off x="3431109" y="6045"/>
                            <a:ext cx="9144" cy="594665"/>
                          </a:xfrm>
                          <a:custGeom>
                            <a:avLst/>
                            <a:gdLst/>
                            <a:ahLst/>
                            <a:cxnLst/>
                            <a:rect l="0" t="0" r="0" b="0"/>
                            <a:pathLst>
                              <a:path w="9144" h="594665">
                                <a:moveTo>
                                  <a:pt x="0" y="0"/>
                                </a:moveTo>
                                <a:lnTo>
                                  <a:pt x="9144" y="0"/>
                                </a:lnTo>
                                <a:lnTo>
                                  <a:pt x="9144" y="594665"/>
                                </a:lnTo>
                                <a:lnTo>
                                  <a:pt x="0" y="5946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58" name="Shape 83558"/>
                        <wps:cNvSpPr/>
                        <wps:spPr>
                          <a:xfrm>
                            <a:off x="4298646" y="6045"/>
                            <a:ext cx="9144" cy="594665"/>
                          </a:xfrm>
                          <a:custGeom>
                            <a:avLst/>
                            <a:gdLst/>
                            <a:ahLst/>
                            <a:cxnLst/>
                            <a:rect l="0" t="0" r="0" b="0"/>
                            <a:pathLst>
                              <a:path w="9144" h="594665">
                                <a:moveTo>
                                  <a:pt x="0" y="0"/>
                                </a:moveTo>
                                <a:lnTo>
                                  <a:pt x="9144" y="0"/>
                                </a:lnTo>
                                <a:lnTo>
                                  <a:pt x="9144" y="594665"/>
                                </a:lnTo>
                                <a:lnTo>
                                  <a:pt x="0" y="5946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59" name="Shape 83559"/>
                        <wps:cNvSpPr/>
                        <wps:spPr>
                          <a:xfrm>
                            <a:off x="4819854" y="6045"/>
                            <a:ext cx="9144" cy="594665"/>
                          </a:xfrm>
                          <a:custGeom>
                            <a:avLst/>
                            <a:gdLst/>
                            <a:ahLst/>
                            <a:cxnLst/>
                            <a:rect l="0" t="0" r="0" b="0"/>
                            <a:pathLst>
                              <a:path w="9144" h="594665">
                                <a:moveTo>
                                  <a:pt x="0" y="0"/>
                                </a:moveTo>
                                <a:lnTo>
                                  <a:pt x="9144" y="0"/>
                                </a:lnTo>
                                <a:lnTo>
                                  <a:pt x="9144" y="594665"/>
                                </a:lnTo>
                                <a:lnTo>
                                  <a:pt x="0" y="5946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60" name="Shape 83560"/>
                        <wps:cNvSpPr/>
                        <wps:spPr>
                          <a:xfrm>
                            <a:off x="0" y="600710"/>
                            <a:ext cx="685800" cy="9144"/>
                          </a:xfrm>
                          <a:custGeom>
                            <a:avLst/>
                            <a:gdLst/>
                            <a:ahLst/>
                            <a:cxnLst/>
                            <a:rect l="0" t="0" r="0" b="0"/>
                            <a:pathLst>
                              <a:path w="685800" h="9144">
                                <a:moveTo>
                                  <a:pt x="0" y="0"/>
                                </a:moveTo>
                                <a:lnTo>
                                  <a:pt x="685800" y="0"/>
                                </a:lnTo>
                                <a:lnTo>
                                  <a:pt x="685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61" name="Shape 83561"/>
                        <wps:cNvSpPr/>
                        <wps:spPr>
                          <a:xfrm>
                            <a:off x="685749" y="6007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62" name="Shape 83562"/>
                        <wps:cNvSpPr/>
                        <wps:spPr>
                          <a:xfrm>
                            <a:off x="691845" y="600710"/>
                            <a:ext cx="1518158" cy="9144"/>
                          </a:xfrm>
                          <a:custGeom>
                            <a:avLst/>
                            <a:gdLst/>
                            <a:ahLst/>
                            <a:cxnLst/>
                            <a:rect l="0" t="0" r="0" b="0"/>
                            <a:pathLst>
                              <a:path w="1518158" h="9144">
                                <a:moveTo>
                                  <a:pt x="0" y="0"/>
                                </a:moveTo>
                                <a:lnTo>
                                  <a:pt x="1518158" y="0"/>
                                </a:lnTo>
                                <a:lnTo>
                                  <a:pt x="1518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63" name="Shape 83563"/>
                        <wps:cNvSpPr/>
                        <wps:spPr>
                          <a:xfrm>
                            <a:off x="2210130" y="6007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64" name="Shape 83564"/>
                        <wps:cNvSpPr/>
                        <wps:spPr>
                          <a:xfrm>
                            <a:off x="2216226" y="600710"/>
                            <a:ext cx="550469" cy="9144"/>
                          </a:xfrm>
                          <a:custGeom>
                            <a:avLst/>
                            <a:gdLst/>
                            <a:ahLst/>
                            <a:cxnLst/>
                            <a:rect l="0" t="0" r="0" b="0"/>
                            <a:pathLst>
                              <a:path w="550469" h="9144">
                                <a:moveTo>
                                  <a:pt x="0" y="0"/>
                                </a:moveTo>
                                <a:lnTo>
                                  <a:pt x="550469" y="0"/>
                                </a:lnTo>
                                <a:lnTo>
                                  <a:pt x="550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65" name="Shape 83565"/>
                        <wps:cNvSpPr/>
                        <wps:spPr>
                          <a:xfrm>
                            <a:off x="2766644" y="6007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66" name="Shape 83566"/>
                        <wps:cNvSpPr/>
                        <wps:spPr>
                          <a:xfrm>
                            <a:off x="2772741" y="60071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67" name="Shape 83567"/>
                        <wps:cNvSpPr/>
                        <wps:spPr>
                          <a:xfrm>
                            <a:off x="3431109" y="6007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68" name="Shape 83568"/>
                        <wps:cNvSpPr/>
                        <wps:spPr>
                          <a:xfrm>
                            <a:off x="3437204" y="600710"/>
                            <a:ext cx="861365" cy="9144"/>
                          </a:xfrm>
                          <a:custGeom>
                            <a:avLst/>
                            <a:gdLst/>
                            <a:ahLst/>
                            <a:cxnLst/>
                            <a:rect l="0" t="0" r="0" b="0"/>
                            <a:pathLst>
                              <a:path w="861365" h="9144">
                                <a:moveTo>
                                  <a:pt x="0" y="0"/>
                                </a:moveTo>
                                <a:lnTo>
                                  <a:pt x="861365" y="0"/>
                                </a:lnTo>
                                <a:lnTo>
                                  <a:pt x="8613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69" name="Shape 83569"/>
                        <wps:cNvSpPr/>
                        <wps:spPr>
                          <a:xfrm>
                            <a:off x="4298646" y="6007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70" name="Shape 83570"/>
                        <wps:cNvSpPr/>
                        <wps:spPr>
                          <a:xfrm>
                            <a:off x="4304741" y="600710"/>
                            <a:ext cx="515112" cy="9144"/>
                          </a:xfrm>
                          <a:custGeom>
                            <a:avLst/>
                            <a:gdLst/>
                            <a:ahLst/>
                            <a:cxnLst/>
                            <a:rect l="0" t="0" r="0" b="0"/>
                            <a:pathLst>
                              <a:path w="515112" h="9144">
                                <a:moveTo>
                                  <a:pt x="0" y="0"/>
                                </a:moveTo>
                                <a:lnTo>
                                  <a:pt x="515112" y="0"/>
                                </a:lnTo>
                                <a:lnTo>
                                  <a:pt x="5151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71" name="Shape 83571"/>
                        <wps:cNvSpPr/>
                        <wps:spPr>
                          <a:xfrm>
                            <a:off x="4819854" y="6007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72" name="Shape 83572"/>
                        <wps:cNvSpPr/>
                        <wps:spPr>
                          <a:xfrm>
                            <a:off x="4825949" y="600710"/>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AAF9A8" id="Group 75843" o:spid="_x0000_s1026" alt="&quot;&quot;" style="width:426.3pt;height:47.8pt;mso-position-horizontal-relative:char;mso-position-vertical-relative:line" coordsize="54142,6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">
                <v:rect id="Rectangle 4506" o:spid="_x0000_s1027" style="position:absolute;left:1112;top:2548;width:619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rPRxwAAAN0AAAAPAAAAZHJzL2Rvd25yZXYueG1sRI9Ba8JA&#10;FITvBf/D8oTe6kZpg6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K/es9HHAAAA3QAA&#10;AA8AAAAAAAAAAAAAAAAABwIAAGRycy9kb3ducmV2LnhtbFBLBQYAAAAAAwADALcAAAD7AgAAAAA=&#10;" filled="f" stroked="f">
                  <v:textbox inset="0,0,0,0">
                    <w:txbxContent>
                      <w:p w14:paraId="71AFEEC9" w14:textId="77777777" w:rsidR="009C7506" w:rsidRDefault="008B3AB3">
                        <w:pPr>
                          <w:spacing w:after="160" w:line="259" w:lineRule="auto"/>
                          <w:ind w:left="0" w:right="0" w:firstLine="0"/>
                          <w:jc w:val="left"/>
                        </w:pPr>
                        <w:r>
                          <w:t>Variable</w:t>
                        </w:r>
                      </w:p>
                    </w:txbxContent>
                  </v:textbox>
                </v:rect>
                <v:rect id="Rectangle 4507" o:spid="_x0000_s1028" style="position:absolute;left:5760;top:2548;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ZK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yiV7h/014AnLxBwAA//8DAFBLAQItABQABgAIAAAAIQDb4fbL7gAAAIUBAAATAAAAAAAA&#10;AAAAAAAAAAAAAABbQ29udGVudF9UeXBlc10ueG1sUEsBAi0AFAAGAAgAAAAhAFr0LFu/AAAAFQEA&#10;AAsAAAAAAAAAAAAAAAAAHwEAAF9yZWxzLy5yZWxzUEsBAi0AFAAGAAgAAAAhAMCSFkrHAAAA3QAA&#10;AA8AAAAAAAAAAAAAAAAABwIAAGRycy9kb3ducmV2LnhtbFBLBQYAAAAAAwADALcAAAD7AgAAAAA=&#10;" filled="f" stroked="f">
                  <v:textbox inset="0,0,0,0">
                    <w:txbxContent>
                      <w:p w14:paraId="15B35A2B" w14:textId="77777777" w:rsidR="009C7506" w:rsidRDefault="008B3AB3">
                        <w:pPr>
                          <w:spacing w:after="160" w:line="259" w:lineRule="auto"/>
                          <w:ind w:left="0" w:right="0" w:firstLine="0"/>
                          <w:jc w:val="left"/>
                        </w:pPr>
                        <w:r>
                          <w:t xml:space="preserve"> </w:t>
                        </w:r>
                      </w:p>
                    </w:txbxContent>
                  </v:textbox>
                </v:rect>
                <v:rect id="Rectangle 4508" o:spid="_x0000_s1029" style="position:absolute;left:11627;top:2548;width:765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I4wgAAAN0AAAAPAAAAZHJzL2Rvd25yZXYueG1sRE/LisIw&#10;FN0L/kO4gjtNHXT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CxDYI4wgAAAN0AAAAPAAAA&#10;AAAAAAAAAAAAAAcCAABkcnMvZG93bnJldi54bWxQSwUGAAAAAAMAAwC3AAAA9gIAAAAA&#10;" filled="f" stroked="f">
                  <v:textbox inset="0,0,0,0">
                    <w:txbxContent>
                      <w:p w14:paraId="61E08A97" w14:textId="77777777" w:rsidR="009C7506" w:rsidRDefault="008B3AB3">
                        <w:pPr>
                          <w:spacing w:after="160" w:line="259" w:lineRule="auto"/>
                          <w:ind w:left="0" w:right="0" w:firstLine="0"/>
                          <w:jc w:val="left"/>
                        </w:pPr>
                        <w:r>
                          <w:t>Definition</w:t>
                        </w:r>
                      </w:p>
                    </w:txbxContent>
                  </v:textbox>
                </v:rect>
                <v:rect id="Rectangle 4509" o:spid="_x0000_s1030" style="position:absolute;left:17376;top:2548;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ejxgAAAN0AAAAPAAAAZHJzL2Rvd25yZXYueG1sRI9Pa8JA&#10;FMTvQr/D8gredNOi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3kEno8YAAADdAAAA&#10;DwAAAAAAAAAAAAAAAAAHAgAAZHJzL2Rvd25yZXYueG1sUEsFBgAAAAADAAMAtwAAAPoCAAAAAA==&#10;" filled="f" stroked="f">
                  <v:textbox inset="0,0,0,0">
                    <w:txbxContent>
                      <w:p w14:paraId="5074C8EA" w14:textId="77777777" w:rsidR="009C7506" w:rsidRDefault="008B3AB3">
                        <w:pPr>
                          <w:spacing w:after="160" w:line="259" w:lineRule="auto"/>
                          <w:ind w:left="0" w:right="0" w:firstLine="0"/>
                          <w:jc w:val="left"/>
                        </w:pPr>
                        <w:r>
                          <w:t xml:space="preserve"> </w:t>
                        </w:r>
                      </w:p>
                    </w:txbxContent>
                  </v:textbox>
                </v:rect>
                <v:rect id="Rectangle 4512" o:spid="_x0000_s1031" style="position:absolute;left:22817;top:4044;width:555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MP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PrzehCcg508AAAD//wMAUEsBAi0AFAAGAAgAAAAhANvh9svuAAAAhQEAABMAAAAAAAAA&#10;AAAAAAAAAAAAAFtDb250ZW50X1R5cGVzXS54bWxQSwECLQAUAAYACAAAACEAWvQsW78AAAAVAQAA&#10;CwAAAAAAAAAAAAAAAAAfAQAAX3JlbHMvLnJlbHNQSwECLQAUAAYACAAAACEAVTwjD8YAAADdAAAA&#10;DwAAAAAAAAAAAAAAAAAHAgAAZHJzL2Rvd25yZXYueG1sUEsFBgAAAAADAAMAtwAAAPoCAAAAAA==&#10;" filled="f" stroked="f">
                  <v:textbox inset="0,0,0,0">
                    <w:txbxContent>
                      <w:p w14:paraId="3290AD2E" w14:textId="77777777" w:rsidR="009C7506" w:rsidRDefault="008B3AB3">
                        <w:pPr>
                          <w:spacing w:after="160" w:line="259" w:lineRule="auto"/>
                          <w:ind w:left="0" w:right="0" w:firstLine="0"/>
                          <w:jc w:val="left"/>
                        </w:pPr>
                        <w:r>
                          <w:t>volume</w:t>
                        </w:r>
                      </w:p>
                    </w:txbxContent>
                  </v:textbox>
                </v:rect>
                <v:rect id="Rectangle 4513" o:spid="_x0000_s1032" style="position:absolute;left:27011;top:404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" filled="f" stroked="f">
                  <v:textbox inset="0,0,0,0">
                    <w:txbxContent>
                      <w:p w14:paraId="7309EDF7" w14:textId="77777777" w:rsidR="009C7506" w:rsidRDefault="008B3AB3">
                        <w:pPr>
                          <w:spacing w:after="160" w:line="259" w:lineRule="auto"/>
                          <w:ind w:left="0" w:right="0" w:firstLine="0"/>
                          <w:jc w:val="left"/>
                        </w:pPr>
                        <w:r>
                          <w:t xml:space="preserve"> </w:t>
                        </w:r>
                      </w:p>
                    </w:txbxContent>
                  </v:textbox>
                </v:rect>
                <v:rect id="Rectangle 4520" o:spid="_x0000_s1033" style="position:absolute;left:35027;top:4044;width:692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JewwAAAN0AAAAPAAAAZHJzL2Rvd25yZXYueG1sRE9Ni8Iw&#10;EL0L+x/CLHjTdGUV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BM7SXsMAAADdAAAADwAA&#10;AAAAAAAAAAAAAAAHAgAAZHJzL2Rvd25yZXYueG1sUEsFBgAAAAADAAMAtwAAAPcCAAAAAA==&#10;" filled="f" stroked="f">
                  <v:textbox inset="0,0,0,0">
                    <w:txbxContent>
                      <w:p w14:paraId="607566E2" w14:textId="77777777" w:rsidR="009C7506" w:rsidRDefault="008B3AB3">
                        <w:pPr>
                          <w:spacing w:after="160" w:line="259" w:lineRule="auto"/>
                          <w:ind w:left="0" w:right="0" w:firstLine="0"/>
                          <w:jc w:val="left"/>
                        </w:pPr>
                        <w:r>
                          <w:t>deviation</w:t>
                        </w:r>
                      </w:p>
                    </w:txbxContent>
                  </v:textbox>
                </v:rect>
                <v:rect id="Rectangle 4521" o:spid="_x0000_s1034" style="position:absolute;left:40239;top:404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" filled="f" stroked="f">
                  <v:textbox inset="0,0,0,0">
                    <w:txbxContent>
                      <w:p w14:paraId="6EE80809" w14:textId="77777777" w:rsidR="009C7506" w:rsidRDefault="008B3AB3">
                        <w:pPr>
                          <w:spacing w:after="160" w:line="259" w:lineRule="auto"/>
                          <w:ind w:left="0" w:right="0" w:firstLine="0"/>
                          <w:jc w:val="left"/>
                        </w:pPr>
                        <w:r>
                          <w:t>(</w:t>
                        </w:r>
                      </w:p>
                    </w:txbxContent>
                  </v:textbox>
                </v:rect>
                <v:rect id="Rectangle 4522" o:spid="_x0000_s1035" style="position:absolute;left:40696;top:4044;width:155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myxwAAAN0AAAAPAAAAZHJzL2Rvd25yZXYueG1sRI9Ba8JA&#10;FITvhf6H5RV6azYNV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JtQ6bLHAAAA3QAA&#10;AA8AAAAAAAAAAAAAAAAABwIAAGRycy9kb3ducmV2LnhtbFBLBQYAAAAAAwADALcAAAD7AgAAAAA=&#10;" filled="f" stroked="f">
                  <v:textbox inset="0,0,0,0">
                    <w:txbxContent>
                      <w:p w14:paraId="6A0EF739" w14:textId="77777777" w:rsidR="009C7506" w:rsidRDefault="008B3AB3">
                        <w:pPr>
                          <w:spacing w:after="160" w:line="259" w:lineRule="auto"/>
                          <w:ind w:left="0" w:right="0" w:firstLine="0"/>
                          <w:jc w:val="left"/>
                        </w:pPr>
                        <w:r>
                          <w:t>%</w:t>
                        </w:r>
                      </w:p>
                    </w:txbxContent>
                  </v:textbox>
                </v:rect>
                <v:rect id="Rectangle 4523" o:spid="_x0000_s1036" style="position:absolute;left:41870;top:404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" filled="f" stroked="f">
                  <v:textbox inset="0,0,0,0">
                    <w:txbxContent>
                      <w:p w14:paraId="3C89109F" w14:textId="77777777" w:rsidR="009C7506" w:rsidRDefault="008B3AB3">
                        <w:pPr>
                          <w:spacing w:after="160" w:line="259" w:lineRule="auto"/>
                          <w:ind w:left="0" w:right="0" w:firstLine="0"/>
                          <w:jc w:val="left"/>
                        </w:pPr>
                        <w:r>
                          <w:t>)</w:t>
                        </w:r>
                      </w:p>
                    </w:txbxContent>
                  </v:textbox>
                </v:rect>
                <v:rect id="Rectangle 4524" o:spid="_x0000_s1037" style="position:absolute;left:42331;top:404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dRd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Ib9AbzfhCcgZy8AAAD//wMAUEsBAi0AFAAGAAgAAAAhANvh9svuAAAAhQEAABMAAAAAAAAA&#10;AAAAAAAAAAAAAFtDb250ZW50X1R5cGVzXS54bWxQSwECLQAUAAYACAAAACEAWvQsW78AAAAVAQAA&#10;CwAAAAAAAAAAAAAAAAAfAQAAX3JlbHMvLnJlbHNQSwECLQAUAAYACAAAACEAe/XUXcYAAADdAAAA&#10;DwAAAAAAAAAAAAAAAAAHAgAAZHJzL2Rvd25yZXYueG1sUEsFBgAAAAADAAMAtwAAAPoCAAAAAA==&#10;" filled="f" stroked="f">
                  <v:textbox inset="0,0,0,0">
                    <w:txbxContent>
                      <w:p w14:paraId="136119CC" w14:textId="77777777" w:rsidR="009C7506" w:rsidRDefault="008B3AB3">
                        <w:pPr>
                          <w:spacing w:after="160" w:line="259" w:lineRule="auto"/>
                          <w:ind w:left="0" w:right="0" w:firstLine="0"/>
                          <w:jc w:val="left"/>
                        </w:pPr>
                        <w:r>
                          <w:t xml:space="preserve"> </w:t>
                        </w:r>
                      </w:p>
                    </w:txbxContent>
                  </v:textbox>
                </v:rect>
                <v:rect id="Rectangle 4525" o:spid="_x0000_s1038" style="position:absolute;left:44449;top:1070;width:165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HGxgAAAN0AAAAPAAAAZHJzL2Rvd25yZXYueG1sRI9Pi8Iw&#10;FMTvgt8hPMGbpiur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LlxxsYAAADdAAAA&#10;DwAAAAAAAAAAAAAAAAAHAgAAZHJzL2Rvd25yZXYueG1sUEsFBgAAAAADAAMAtwAAAPoCAAAAAA==&#10;" filled="f" stroked="f">
                  <v:textbox inset="0,0,0,0">
                    <w:txbxContent>
                      <w:p w14:paraId="77CA501F" w14:textId="77777777" w:rsidR="009C7506" w:rsidRDefault="008B3AB3">
                        <w:pPr>
                          <w:spacing w:after="160" w:line="259" w:lineRule="auto"/>
                          <w:ind w:left="0" w:right="0" w:firstLine="0"/>
                          <w:jc w:val="left"/>
                        </w:pPr>
                        <w:r>
                          <w:t>M</w:t>
                        </w:r>
                      </w:p>
                    </w:txbxContent>
                  </v:textbox>
                </v:rect>
                <v:rect id="Rectangle 4526" o:spid="_x0000_s1039" style="position:absolute;left:45699;top:1070;width:192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ORr77HHAAAA3QAA&#10;AA8AAAAAAAAAAAAAAAAABwIAAGRycy9kb3ducmV2LnhtbFBLBQYAAAAAAwADALcAAAD7AgAAAAA=&#10;" filled="f" stroked="f">
                  <v:textbox inset="0,0,0,0">
                    <w:txbxContent>
                      <w:p w14:paraId="2878B8CB" w14:textId="77777777" w:rsidR="009C7506" w:rsidRDefault="008B3AB3">
                        <w:pPr>
                          <w:spacing w:after="160" w:line="259" w:lineRule="auto"/>
                          <w:ind w:left="0" w:right="0" w:firstLine="0"/>
                          <w:jc w:val="left"/>
                        </w:pPr>
                        <w:r>
                          <w:t xml:space="preserve">in </w:t>
                        </w:r>
                      </w:p>
                    </w:txbxContent>
                  </v:textbox>
                </v:rect>
                <v:rect id="Rectangle 4527" o:spid="_x0000_s1040" style="position:absolute;left:47482;top:1070;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oqxwAAAN0AAAAPAAAAZHJzL2Rvd25yZXYueG1sRI9Ba8JA&#10;FITvhf6H5RV6q5tKt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IsnSirHAAAA3QAA&#10;AA8AAAAAAAAAAAAAAAAABwIAAGRycy9kb3ducmV2LnhtbFBLBQYAAAAAAwADALcAAAD7AgAAAAA=&#10;" filled="f" stroked="f">
                  <v:textbox inset="0,0,0,0">
                    <w:txbxContent>
                      <w:p w14:paraId="0FC06E75" w14:textId="77777777" w:rsidR="009C7506" w:rsidRDefault="008B3AB3">
                        <w:pPr>
                          <w:spacing w:after="160" w:line="259" w:lineRule="auto"/>
                          <w:ind w:left="0" w:right="0" w:firstLine="0"/>
                          <w:jc w:val="left"/>
                        </w:pPr>
                        <w:r>
                          <w:t xml:space="preserve"> </w:t>
                        </w:r>
                      </w:p>
                    </w:txbxContent>
                  </v:textbox>
                </v:rect>
                <v:rect id="Rectangle 4528" o:spid="_x0000_s1041" style="position:absolute;left:44571;top:404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5YwwAAAN0AAAAPAAAAZHJzL2Rvd25yZXYueG1sRE9Ni8Iw&#10;EL0L+x/CLHjTdGUV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rjeWMMAAADdAAAADwAA&#10;AAAAAAAAAAAAAAAHAgAAZHJzL2Rvd25yZXYueG1sUEsFBgAAAAADAAMAtwAAAPcCAAAAAA==&#10;" filled="f" stroked="f">
                  <v:textbox inset="0,0,0,0">
                    <w:txbxContent>
                      <w:p w14:paraId="768C35B4" w14:textId="77777777" w:rsidR="009C7506" w:rsidRDefault="008B3AB3">
                        <w:pPr>
                          <w:spacing w:after="160" w:line="259" w:lineRule="auto"/>
                          <w:ind w:left="0" w:right="0" w:firstLine="0"/>
                          <w:jc w:val="left"/>
                        </w:pPr>
                        <w:r>
                          <w:t>(</w:t>
                        </w:r>
                      </w:p>
                    </w:txbxContent>
                  </v:textbox>
                </v:rect>
                <v:rect id="Rectangle 4529" o:spid="_x0000_s1042" style="position:absolute;left:45043;top:4044;width:155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vDxgAAAN0AAAAPAAAAZHJzL2Rvd25yZXYueG1sRI9Ba8JA&#10;FITvgv9heQVvuqlY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lfR7w8YAAADdAAAA&#10;DwAAAAAAAAAAAAAAAAAHAgAAZHJzL2Rvd25yZXYueG1sUEsFBgAAAAADAAMAtwAAAPoCAAAAAA==&#10;" filled="f" stroked="f">
                  <v:textbox inset="0,0,0,0">
                    <w:txbxContent>
                      <w:p w14:paraId="05CDB953" w14:textId="77777777" w:rsidR="009C7506" w:rsidRDefault="008B3AB3">
                        <w:pPr>
                          <w:spacing w:after="160" w:line="259" w:lineRule="auto"/>
                          <w:ind w:left="0" w:right="0" w:firstLine="0"/>
                          <w:jc w:val="left"/>
                        </w:pPr>
                        <w:r>
                          <w:t>%</w:t>
                        </w:r>
                      </w:p>
                    </w:txbxContent>
                  </v:textbox>
                </v:rect>
                <v:rect id="Rectangle 4530" o:spid="_x0000_s1043" style="position:absolute;left:46202;top:404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" filled="f" stroked="f">
                  <v:textbox inset="0,0,0,0">
                    <w:txbxContent>
                      <w:p w14:paraId="230487A6" w14:textId="77777777" w:rsidR="009C7506" w:rsidRDefault="008B3AB3">
                        <w:pPr>
                          <w:spacing w:after="160" w:line="259" w:lineRule="auto"/>
                          <w:ind w:left="0" w:right="0" w:firstLine="0"/>
                          <w:jc w:val="left"/>
                        </w:pPr>
                        <w:r>
                          <w:t>)</w:t>
                        </w:r>
                      </w:p>
                    </w:txbxContent>
                  </v:textbox>
                </v:rect>
                <v:rect id="Rectangle 4531" o:spid="_x0000_s1044" style="position:absolute;left:46659;top:404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" filled="f" stroked="f">
                  <v:textbox inset="0,0,0,0">
                    <w:txbxContent>
                      <w:p w14:paraId="1D9F5084" w14:textId="77777777" w:rsidR="009C7506" w:rsidRDefault="008B3AB3">
                        <w:pPr>
                          <w:spacing w:after="160" w:line="259" w:lineRule="auto"/>
                          <w:ind w:left="0" w:right="0" w:firstLine="0"/>
                          <w:jc w:val="left"/>
                        </w:pPr>
                        <w:r>
                          <w:t xml:space="preserve"> </w:t>
                        </w:r>
                      </w:p>
                    </w:txbxContent>
                  </v:textbox>
                </v:rect>
                <v:rect id="Rectangle 4532" o:spid="_x0000_s1045" style="position:absolute;left:49890;top:1070;width:165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" filled="f" stroked="f">
                  <v:textbox inset="0,0,0,0">
                    <w:txbxContent>
                      <w:p w14:paraId="5B8DA763" w14:textId="77777777" w:rsidR="009C7506" w:rsidRDefault="008B3AB3">
                        <w:pPr>
                          <w:spacing w:after="160" w:line="259" w:lineRule="auto"/>
                          <w:ind w:left="0" w:right="0" w:firstLine="0"/>
                          <w:jc w:val="left"/>
                        </w:pPr>
                        <w:r>
                          <w:t>M</w:t>
                        </w:r>
                      </w:p>
                    </w:txbxContent>
                  </v:textbox>
                </v:rect>
                <v:rect id="Rectangle 4533" o:spid="_x0000_s1046" style="position:absolute;left:51139;top:1070;width:222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" filled="f" stroked="f">
                  <v:textbox inset="0,0,0,0">
                    <w:txbxContent>
                      <w:p w14:paraId="20021F26" w14:textId="77777777" w:rsidR="009C7506" w:rsidRDefault="008B3AB3">
                        <w:pPr>
                          <w:spacing w:after="160" w:line="259" w:lineRule="auto"/>
                          <w:ind w:left="0" w:right="0" w:firstLine="0"/>
                          <w:jc w:val="left"/>
                        </w:pPr>
                        <w:r>
                          <w:t xml:space="preserve">ax </w:t>
                        </w:r>
                      </w:p>
                    </w:txbxContent>
                  </v:textbox>
                </v:rect>
                <v:rect id="Rectangle 4534" o:spid="_x0000_s1047" style="position:absolute;left:53151;top:1070;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A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OJ/D3JjwBufwFAAD//wMAUEsBAi0AFAAGAAgAAAAhANvh9svuAAAAhQEAABMAAAAAAAAA&#10;AAAAAAAAAAAAAFtDb250ZW50X1R5cGVzXS54bWxQSwECLQAUAAYACAAAACEAWvQsW78AAAAVAQAA&#10;CwAAAAAAAAAAAAAAAAAfAQAAX3JlbHMvLnJlbHNQSwECLQAUAAYACAAAACEA/ixCgMYAAADdAAAA&#10;DwAAAAAAAAAAAAAAAAAHAgAAZHJzL2Rvd25yZXYueG1sUEsFBgAAAAADAAMAtwAAAPoCAAAAAA==&#10;" filled="f" stroked="f">
                  <v:textbox inset="0,0,0,0">
                    <w:txbxContent>
                      <w:p w14:paraId="007116E6" w14:textId="77777777" w:rsidR="009C7506" w:rsidRDefault="008B3AB3">
                        <w:pPr>
                          <w:spacing w:after="160" w:line="259" w:lineRule="auto"/>
                          <w:ind w:left="0" w:right="0" w:firstLine="0"/>
                          <w:jc w:val="left"/>
                        </w:pPr>
                        <w:r>
                          <w:t xml:space="preserve"> </w:t>
                        </w:r>
                      </w:p>
                    </w:txbxContent>
                  </v:textbox>
                </v:rect>
                <v:rect id="Rectangle 4535" o:spid="_x0000_s1048" style="position:absolute;left:50134;top:4044;width:62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cb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AtGSbw/yY8ATm9AQAA//8DAFBLAQItABQABgAIAAAAIQDb4fbL7gAAAIUBAAATAAAAAAAA&#10;AAAAAAAAAAAAAABbQ29udGVudF9UeXBlc10ueG1sUEsBAi0AFAAGAAgAAAAhAFr0LFu/AAAAFQEA&#10;AAsAAAAAAAAAAAAAAAAAHwEAAF9yZWxzLy5yZWxzUEsBAi0AFAAGAAgAAAAhAJFg5xvHAAAA3QAA&#10;AA8AAAAAAAAAAAAAAAAABwIAAGRycy9kb3ducmV2LnhtbFBLBQYAAAAAAwADALcAAAD7AgAAAAA=&#10;" filled="f" stroked="f">
                  <v:textbox inset="0,0,0,0">
                    <w:txbxContent>
                      <w:p w14:paraId="3D051949" w14:textId="77777777" w:rsidR="009C7506" w:rsidRDefault="008B3AB3">
                        <w:pPr>
                          <w:spacing w:after="160" w:line="259" w:lineRule="auto"/>
                          <w:ind w:left="0" w:right="0" w:firstLine="0"/>
                          <w:jc w:val="left"/>
                        </w:pPr>
                        <w:r>
                          <w:t>(</w:t>
                        </w:r>
                      </w:p>
                    </w:txbxContent>
                  </v:textbox>
                </v:rect>
                <v:rect id="Rectangle 4536" o:spid="_x0000_s1049" style="position:absolute;left:50606;top:4044;width:155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ls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38ZwfxOegEx/AQAA//8DAFBLAQItABQABgAIAAAAIQDb4fbL7gAAAIUBAAATAAAAAAAA&#10;AAAAAAAAAAAAAABbQ29udGVudF9UeXBlc10ueG1sUEsBAi0AFAAGAAgAAAAhAFr0LFu/AAAAFQEA&#10;AAsAAAAAAAAAAAAAAAAAHwEAAF9yZWxzLy5yZWxzUEsBAi0AFAAGAAgAAAAhAGGyeWzHAAAA3QAA&#10;AA8AAAAAAAAAAAAAAAAABwIAAGRycy9kb3ducmV2LnhtbFBLBQYAAAAAAwADALcAAAD7AgAAAAA=&#10;" filled="f" stroked="f">
                  <v:textbox inset="0,0,0,0">
                    <w:txbxContent>
                      <w:p w14:paraId="4CC4FE7E" w14:textId="77777777" w:rsidR="009C7506" w:rsidRDefault="008B3AB3">
                        <w:pPr>
                          <w:spacing w:after="160" w:line="259" w:lineRule="auto"/>
                          <w:ind w:left="0" w:right="0" w:firstLine="0"/>
                          <w:jc w:val="left"/>
                        </w:pPr>
                        <w:r>
                          <w:t>%</w:t>
                        </w:r>
                      </w:p>
                    </w:txbxContent>
                  </v:textbox>
                </v:rect>
                <v:rect id="Rectangle 4537" o:spid="_x0000_s1050" style="position:absolute;left:51764;top:404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" filled="f" stroked="f">
                  <v:textbox inset="0,0,0,0">
                    <w:txbxContent>
                      <w:p w14:paraId="61B60BB1" w14:textId="77777777" w:rsidR="009C7506" w:rsidRDefault="008B3AB3">
                        <w:pPr>
                          <w:spacing w:after="160" w:line="259" w:lineRule="auto"/>
                          <w:ind w:left="0" w:right="0" w:firstLine="0"/>
                          <w:jc w:val="left"/>
                        </w:pPr>
                        <w:r>
                          <w:t>)</w:t>
                        </w:r>
                      </w:p>
                    </w:txbxContent>
                  </v:textbox>
                </v:rect>
                <v:rect id="Rectangle 4538" o:spid="_x0000_s1051" style="position:absolute;left:52221;top:4044;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" filled="f" stroked="f">
                  <v:textbox inset="0,0,0,0">
                    <w:txbxContent>
                      <w:p w14:paraId="251DA933" w14:textId="77777777" w:rsidR="009C7506" w:rsidRDefault="008B3AB3">
                        <w:pPr>
                          <w:spacing w:after="160" w:line="259" w:lineRule="auto"/>
                          <w:ind w:left="0" w:right="0" w:firstLine="0"/>
                          <w:jc w:val="left"/>
                        </w:pPr>
                        <w:r>
                          <w:t xml:space="preserve"> </w:t>
                        </w:r>
                      </w:p>
                    </w:txbxContent>
                  </v:textbox>
                </v:rect>
                <v:shape id="Shape 83541" o:spid="_x0000_s1052" style="position:absolute;width:6858;height:91;visibility:visible;mso-wrap-style:square;v-text-anchor:top" coordsize="685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" path="m,l685800,r,9144l,9144,,e" fillcolor="black" stroked="f" strokeweight="0">
                  <v:stroke miterlimit="83231f" joinstyle="miter"/>
                  <v:path arrowok="t" textboxrect="0,0,685800,9144"/>
                </v:shape>
                <v:shape id="Shape 83542" o:spid="_x0000_s1053" style="position:absolute;left:68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" path="m,l9144,r,9144l,9144,,e" fillcolor="black" stroked="f" strokeweight="0">
                  <v:stroke miterlimit="83231f" joinstyle="miter"/>
                  <v:path arrowok="t" textboxrect="0,0,9144,9144"/>
                </v:shape>
                <v:shape id="Shape 83543" o:spid="_x0000_s1054" style="position:absolute;left:6918;width:15182;height:91;visibility:visible;mso-wrap-style:square;v-text-anchor:top" coordsize="1518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" path="m,l1518158,r,9144l,9144,,e" fillcolor="black" stroked="f" strokeweight="0">
                  <v:stroke miterlimit="83231f" joinstyle="miter"/>
                  <v:path arrowok="t" textboxrect="0,0,1518158,9144"/>
                </v:shape>
                <v:shape id="Shape 83544" o:spid="_x0000_s1055" style="position:absolute;left:221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" path="m,l9144,r,9144l,9144,,e" fillcolor="black" stroked="f" strokeweight="0">
                  <v:stroke miterlimit="83231f" joinstyle="miter"/>
                  <v:path arrowok="t" textboxrect="0,0,9144,9144"/>
                </v:shape>
                <v:shape id="Shape 83545" o:spid="_x0000_s1056" style="position:absolute;left:22162;width:5504;height:91;visibility:visible;mso-wrap-style:square;v-text-anchor:top" coordsize="5504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" path="m,l550469,r,9144l,9144,,e" fillcolor="black" stroked="f" strokeweight="0">
                  <v:stroke miterlimit="83231f" joinstyle="miter"/>
                  <v:path arrowok="t" textboxrect="0,0,550469,9144"/>
                </v:shape>
                <v:shape id="Shape 83546" o:spid="_x0000_s1057" style="position:absolute;left:276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" path="m,l9144,r,9144l,9144,,e" fillcolor="black" stroked="f" strokeweight="0">
                  <v:stroke miterlimit="83231f" joinstyle="miter"/>
                  <v:path arrowok="t" textboxrect="0,0,9144,9144"/>
                </v:shape>
                <v:shape id="Shape 83547" o:spid="_x0000_s1058" style="position:absolute;left:27727;width:6584;height:91;visibility:visible;mso-wrap-style:square;v-text-anchor:top" coordsize="6583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" path="m,l658368,r,9144l,9144,,e" fillcolor="black" stroked="f" strokeweight="0">
                  <v:stroke miterlimit="83231f" joinstyle="miter"/>
                  <v:path arrowok="t" textboxrect="0,0,658368,9144"/>
                </v:shape>
                <v:shape id="Shape 83548" o:spid="_x0000_s1059" style="position:absolute;left:343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" path="m,l9144,r,9144l,9144,,e" fillcolor="black" stroked="f" strokeweight="0">
                  <v:stroke miterlimit="83231f" joinstyle="miter"/>
                  <v:path arrowok="t" textboxrect="0,0,9144,9144"/>
                </v:shape>
                <v:shape id="Shape 83549" o:spid="_x0000_s1060" style="position:absolute;left:34372;width:8613;height:91;visibility:visible;mso-wrap-style:square;v-text-anchor:top" coordsize="861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" path="m,l861365,r,9144l,9144,,e" fillcolor="black" stroked="f" strokeweight="0">
                  <v:stroke miterlimit="83231f" joinstyle="miter"/>
                  <v:path arrowok="t" textboxrect="0,0,861365,9144"/>
                </v:shape>
                <v:shape id="Shape 83550" o:spid="_x0000_s1061" style="position:absolute;left:429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" path="m,l9144,r,9144l,9144,,e" fillcolor="black" stroked="f" strokeweight="0">
                  <v:stroke miterlimit="83231f" joinstyle="miter"/>
                  <v:path arrowok="t" textboxrect="0,0,9144,9144"/>
                </v:shape>
                <v:shape id="Shape 83551" o:spid="_x0000_s1062" style="position:absolute;left:43047;width:5151;height:91;visibility:visible;mso-wrap-style:square;v-text-anchor:top" coordsize="5151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" path="m,l515112,r,9144l,9144,,e" fillcolor="black" stroked="f" strokeweight="0">
                  <v:stroke miterlimit="83231f" joinstyle="miter"/>
                  <v:path arrowok="t" textboxrect="0,0,515112,9144"/>
                </v:shape>
                <v:shape id="Shape 83552" o:spid="_x0000_s1063" style="position:absolute;left:481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" path="m,l9144,r,9144l,9144,,e" fillcolor="black" stroked="f" strokeweight="0">
                  <v:stroke miterlimit="83231f" joinstyle="miter"/>
                  <v:path arrowok="t" textboxrect="0,0,9144,9144"/>
                </v:shape>
                <v:shape id="Shape 83553" o:spid="_x0000_s1064" style="position:absolute;left:48259;width:5883;height:91;visibility:visible;mso-wrap-style:square;v-text-anchor:top" coordsize="588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" path="m,l588264,r,9144l,9144,,e" fillcolor="black" stroked="f" strokeweight="0">
                  <v:stroke miterlimit="83231f" joinstyle="miter"/>
                  <v:path arrowok="t" textboxrect="0,0,588264,9144"/>
                </v:shape>
                <v:shape id="Shape 83554" o:spid="_x0000_s1065" style="position:absolute;left:6857;top:60;width:91;height:5947;visibility:visible;mso-wrap-style:square;v-text-anchor:top" coordsize="9144,5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" path="m,l9144,r,594665l,594665,,e" fillcolor="black" stroked="f" strokeweight="0">
                  <v:stroke miterlimit="83231f" joinstyle="miter"/>
                  <v:path arrowok="t" textboxrect="0,0,9144,594665"/>
                </v:shape>
                <v:shape id="Shape 83555" o:spid="_x0000_s1066" style="position:absolute;left:22101;top:60;width:91;height:5947;visibility:visible;mso-wrap-style:square;v-text-anchor:top" coordsize="9144,5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" path="m,l9144,r,594665l,594665,,e" fillcolor="black" stroked="f" strokeweight="0">
                  <v:stroke miterlimit="83231f" joinstyle="miter"/>
                  <v:path arrowok="t" textboxrect="0,0,9144,594665"/>
                </v:shape>
                <v:shape id="Shape 83556" o:spid="_x0000_s1067" style="position:absolute;left:27666;top:60;width:91;height:5947;visibility:visible;mso-wrap-style:square;v-text-anchor:top" coordsize="9144,5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" path="m,l9144,r,594665l,594665,,e" fillcolor="black" stroked="f" strokeweight="0">
                  <v:stroke miterlimit="83231f" joinstyle="miter"/>
                  <v:path arrowok="t" textboxrect="0,0,9144,594665"/>
                </v:shape>
                <v:shape id="Shape 83557" o:spid="_x0000_s1068" style="position:absolute;left:34311;top:60;width:91;height:5947;visibility:visible;mso-wrap-style:square;v-text-anchor:top" coordsize="9144,5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" path="m,l9144,r,594665l,594665,,e" fillcolor="black" stroked="f" strokeweight="0">
                  <v:stroke miterlimit="83231f" joinstyle="miter"/>
                  <v:path arrowok="t" textboxrect="0,0,9144,594665"/>
                </v:shape>
                <v:shape id="Shape 83558" o:spid="_x0000_s1069" style="position:absolute;left:42986;top:60;width:91;height:5947;visibility:visible;mso-wrap-style:square;v-text-anchor:top" coordsize="9144,5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" path="m,l9144,r,594665l,594665,,e" fillcolor="black" stroked="f" strokeweight="0">
                  <v:stroke miterlimit="83231f" joinstyle="miter"/>
                  <v:path arrowok="t" textboxrect="0,0,9144,594665"/>
                </v:shape>
                <v:shape id="Shape 83559" o:spid="_x0000_s1070" style="position:absolute;left:48198;top:60;width:91;height:5947;visibility:visible;mso-wrap-style:square;v-text-anchor:top" coordsize="9144,5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" path="m,l9144,r,594665l,594665,,e" fillcolor="black" stroked="f" strokeweight="0">
                  <v:stroke miterlimit="83231f" joinstyle="miter"/>
                  <v:path arrowok="t" textboxrect="0,0,9144,594665"/>
                </v:shape>
                <v:shape id="Shape 83560" o:spid="_x0000_s1071" style="position:absolute;top:6007;width:6858;height:91;visibility:visible;mso-wrap-style:square;v-text-anchor:top" coordsize="685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" path="m,l685800,r,9144l,9144,,e" fillcolor="black" stroked="f" strokeweight="0">
                  <v:stroke miterlimit="83231f" joinstyle="miter"/>
                  <v:path arrowok="t" textboxrect="0,0,685800,9144"/>
                </v:shape>
                <v:shape id="Shape 83561" o:spid="_x0000_s1072" style="position:absolute;left:6857;top:60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" path="m,l9144,r,9144l,9144,,e" fillcolor="black" stroked="f" strokeweight="0">
                  <v:stroke miterlimit="83231f" joinstyle="miter"/>
                  <v:path arrowok="t" textboxrect="0,0,9144,9144"/>
                </v:shape>
                <v:shape id="Shape 83562" o:spid="_x0000_s1073" style="position:absolute;left:6918;top:6007;width:15182;height:91;visibility:visible;mso-wrap-style:square;v-text-anchor:top" coordsize="1518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" path="m,l1518158,r,9144l,9144,,e" fillcolor="black" stroked="f" strokeweight="0">
                  <v:stroke miterlimit="83231f" joinstyle="miter"/>
                  <v:path arrowok="t" textboxrect="0,0,1518158,9144"/>
                </v:shape>
                <v:shape id="Shape 83563" o:spid="_x0000_s1074" style="position:absolute;left:22101;top:60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" path="m,l9144,r,9144l,9144,,e" fillcolor="black" stroked="f" strokeweight="0">
                  <v:stroke miterlimit="83231f" joinstyle="miter"/>
                  <v:path arrowok="t" textboxrect="0,0,9144,9144"/>
                </v:shape>
                <v:shape id="Shape 83564" o:spid="_x0000_s1075" style="position:absolute;left:22162;top:6007;width:5504;height:91;visibility:visible;mso-wrap-style:square;v-text-anchor:top" coordsize="5504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" path="m,l550469,r,9144l,9144,,e" fillcolor="black" stroked="f" strokeweight="0">
                  <v:stroke miterlimit="83231f" joinstyle="miter"/>
                  <v:path arrowok="t" textboxrect="0,0,550469,9144"/>
                </v:shape>
                <v:shape id="Shape 83565" o:spid="_x0000_s1076" style="position:absolute;left:27666;top:60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" path="m,l9144,r,9144l,9144,,e" fillcolor="black" stroked="f" strokeweight="0">
                  <v:stroke miterlimit="83231f" joinstyle="miter"/>
                  <v:path arrowok="t" textboxrect="0,0,9144,9144"/>
                </v:shape>
                <v:shape id="Shape 83566" o:spid="_x0000_s1077" style="position:absolute;left:27727;top:6007;width:6584;height:91;visibility:visible;mso-wrap-style:square;v-text-anchor:top" coordsize="6583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" path="m,l658368,r,9144l,9144,,e" fillcolor="black" stroked="f" strokeweight="0">
                  <v:stroke miterlimit="83231f" joinstyle="miter"/>
                  <v:path arrowok="t" textboxrect="0,0,658368,9144"/>
                </v:shape>
                <v:shape id="Shape 83567" o:spid="_x0000_s1078" style="position:absolute;left:34311;top:60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" path="m,l9144,r,9144l,9144,,e" fillcolor="black" stroked="f" strokeweight="0">
                  <v:stroke miterlimit="83231f" joinstyle="miter"/>
                  <v:path arrowok="t" textboxrect="0,0,9144,9144"/>
                </v:shape>
                <v:shape id="Shape 83568" o:spid="_x0000_s1079" style="position:absolute;left:34372;top:6007;width:8613;height:91;visibility:visible;mso-wrap-style:square;v-text-anchor:top" coordsize="861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" path="m,l861365,r,9144l,9144,,e" fillcolor="black" stroked="f" strokeweight="0">
                  <v:stroke miterlimit="83231f" joinstyle="miter"/>
                  <v:path arrowok="t" textboxrect="0,0,861365,9144"/>
                </v:shape>
                <v:shape id="Shape 83569" o:spid="_x0000_s1080" style="position:absolute;left:42986;top:60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" path="m,l9144,r,9144l,9144,,e" fillcolor="black" stroked="f" strokeweight="0">
                  <v:stroke miterlimit="83231f" joinstyle="miter"/>
                  <v:path arrowok="t" textboxrect="0,0,9144,9144"/>
                </v:shape>
                <v:shape id="Shape 83570" o:spid="_x0000_s1081" style="position:absolute;left:43047;top:6007;width:5151;height:91;visibility:visible;mso-wrap-style:square;v-text-anchor:top" coordsize="5151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" path="m,l515112,r,9144l,9144,,e" fillcolor="black" stroked="f" strokeweight="0">
                  <v:stroke miterlimit="83231f" joinstyle="miter"/>
                  <v:path arrowok="t" textboxrect="0,0,515112,9144"/>
                </v:shape>
                <v:shape id="Shape 83571" o:spid="_x0000_s1082" style="position:absolute;left:48198;top:60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" path="m,l9144,r,9144l,9144,,e" fillcolor="black" stroked="f" strokeweight="0">
                  <v:stroke miterlimit="83231f" joinstyle="miter"/>
                  <v:path arrowok="t" textboxrect="0,0,9144,9144"/>
                </v:shape>
                <v:shape id="Shape 83572" o:spid="_x0000_s1083" style="position:absolute;left:48259;top:6007;width:5883;height:91;visibility:visible;mso-wrap-style:square;v-text-anchor:top" coordsize="588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" path="m,l588264,r,9144l,9144,,e" fillcolor="black" stroked="f" strokeweight="0">
                  <v:stroke miterlimit="83231f" joinstyle="miter"/>
                  <v:path arrowok="t" textboxrect="0,0,588264,9144"/>
                </v:shape>
                <w10:anchorlock/>
              </v:group>
            </w:pict>
          </mc:Fallback>
        </mc:AlternateContent>
      </w:r>
      <w:r>
        <w:t xml:space="preserve">Sample Mean(%) </w:t>
      </w:r>
      <w:r>
        <w:t xml:space="preserve">The standard </w:t>
      </w:r>
    </w:p>
    <w:p w14:paraId="21AE651D" w14:textId="77777777" w:rsidR="009C7506" w:rsidRDefault="008B3AB3">
      <w:pPr>
        <w:spacing w:after="0" w:line="259" w:lineRule="auto"/>
        <w:ind w:left="394" w:right="437"/>
        <w:jc w:val="center"/>
      </w:pPr>
      <w:r>
        <w:t xml:space="preserve">Panel A </w:t>
      </w:r>
    </w:p>
    <w:tbl>
      <w:tblPr>
        <w:tblStyle w:val="TableGrid"/>
        <w:tblW w:w="8526" w:type="dxa"/>
        <w:tblInd w:w="-108" w:type="dxa"/>
        <w:tblCellMar>
          <w:top w:w="0" w:type="dxa"/>
          <w:left w:w="108" w:type="dxa"/>
          <w:bottom w:w="0" w:type="dxa"/>
          <w:right w:w="53" w:type="dxa"/>
        </w:tblCellMar>
        <w:tblLook w:val="04A0" w:firstRow="1" w:lastRow="0" w:firstColumn="1" w:lastColumn="0" w:noHBand="0" w:noVBand="1"/>
      </w:tblPr>
      <w:tblGrid>
        <w:gridCol w:w="1085"/>
        <w:gridCol w:w="2401"/>
        <w:gridCol w:w="876"/>
        <w:gridCol w:w="1046"/>
        <w:gridCol w:w="1366"/>
        <w:gridCol w:w="821"/>
        <w:gridCol w:w="931"/>
      </w:tblGrid>
      <w:tr w:rsidR="009C7506" w14:paraId="0E1DBA82" w14:textId="77777777">
        <w:trPr>
          <w:trHeight w:val="478"/>
        </w:trPr>
        <w:tc>
          <w:tcPr>
            <w:tcW w:w="1085" w:type="dxa"/>
            <w:tcBorders>
              <w:top w:val="single" w:sz="4" w:space="0" w:color="000000"/>
              <w:left w:val="nil"/>
              <w:bottom w:val="single" w:sz="4" w:space="0" w:color="000000"/>
              <w:right w:val="single" w:sz="4" w:space="0" w:color="000000"/>
            </w:tcBorders>
            <w:vAlign w:val="center"/>
          </w:tcPr>
          <w:p w14:paraId="3A69D789" w14:textId="77777777" w:rsidR="009C7506" w:rsidRDefault="008B3AB3">
            <w:pPr>
              <w:spacing w:after="0" w:line="259" w:lineRule="auto"/>
              <w:ind w:left="0" w:right="55" w:firstLine="0"/>
              <w:jc w:val="center"/>
            </w:pPr>
            <w:r>
              <w:rPr>
                <w:i/>
              </w:rPr>
              <w:t xml:space="preserve">GDP </w:t>
            </w:r>
          </w:p>
        </w:tc>
        <w:tc>
          <w:tcPr>
            <w:tcW w:w="2401" w:type="dxa"/>
            <w:tcBorders>
              <w:top w:val="single" w:sz="4" w:space="0" w:color="000000"/>
              <w:left w:val="single" w:sz="4" w:space="0" w:color="000000"/>
              <w:bottom w:val="single" w:sz="4" w:space="0" w:color="000000"/>
              <w:right w:val="single" w:sz="4" w:space="0" w:color="000000"/>
            </w:tcBorders>
            <w:vAlign w:val="center"/>
          </w:tcPr>
          <w:p w14:paraId="097E7FFC" w14:textId="77777777" w:rsidR="009C7506" w:rsidRDefault="008B3AB3">
            <w:pPr>
              <w:spacing w:after="0" w:line="259" w:lineRule="auto"/>
              <w:ind w:left="0" w:firstLine="0"/>
              <w:jc w:val="center"/>
            </w:pPr>
            <w:r>
              <w:rPr>
                <w:i/>
              </w:rPr>
              <w:t>GDP(</w:t>
            </w:r>
            <w:r>
              <w:rPr>
                <w:rFonts w:ascii="SimSun" w:eastAsia="SimSun" w:hAnsi="SimSun" w:cs="SimSun"/>
                <w:sz w:val="23"/>
              </w:rPr>
              <w:t>￥</w:t>
            </w:r>
            <w:r>
              <w:rPr>
                <w:i/>
              </w:rPr>
              <w:t>trillion)</w:t>
            </w:r>
            <w: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14:paraId="55009886" w14:textId="77777777" w:rsidR="009C7506" w:rsidRDefault="008B3AB3">
            <w:pPr>
              <w:spacing w:after="0" w:line="259" w:lineRule="auto"/>
              <w:ind w:left="0" w:right="58" w:firstLine="0"/>
              <w:jc w:val="center"/>
            </w:pPr>
            <w:r>
              <w:t xml:space="preserve">428 </w:t>
            </w:r>
          </w:p>
        </w:tc>
        <w:tc>
          <w:tcPr>
            <w:tcW w:w="1046" w:type="dxa"/>
            <w:tcBorders>
              <w:top w:val="single" w:sz="4" w:space="0" w:color="000000"/>
              <w:left w:val="single" w:sz="4" w:space="0" w:color="000000"/>
              <w:bottom w:val="single" w:sz="4" w:space="0" w:color="000000"/>
              <w:right w:val="single" w:sz="4" w:space="0" w:color="000000"/>
            </w:tcBorders>
            <w:vAlign w:val="center"/>
          </w:tcPr>
          <w:p w14:paraId="12E82C71" w14:textId="77777777" w:rsidR="009C7506" w:rsidRDefault="008B3AB3">
            <w:pPr>
              <w:spacing w:after="0" w:line="259" w:lineRule="auto"/>
              <w:ind w:left="0" w:right="53" w:firstLine="0"/>
              <w:jc w:val="center"/>
            </w:pPr>
            <w:r>
              <w:t xml:space="preserve">0.554 </w:t>
            </w:r>
          </w:p>
        </w:tc>
        <w:tc>
          <w:tcPr>
            <w:tcW w:w="1366" w:type="dxa"/>
            <w:tcBorders>
              <w:top w:val="single" w:sz="4" w:space="0" w:color="000000"/>
              <w:left w:val="single" w:sz="4" w:space="0" w:color="000000"/>
              <w:bottom w:val="single" w:sz="4" w:space="0" w:color="000000"/>
              <w:right w:val="single" w:sz="4" w:space="0" w:color="000000"/>
            </w:tcBorders>
            <w:vAlign w:val="center"/>
          </w:tcPr>
          <w:p w14:paraId="6FFDA3C5" w14:textId="77777777" w:rsidR="009C7506" w:rsidRDefault="008B3AB3">
            <w:pPr>
              <w:spacing w:after="0" w:line="259" w:lineRule="auto"/>
              <w:ind w:left="0" w:right="56" w:firstLine="0"/>
              <w:jc w:val="center"/>
            </w:pPr>
            <w:r>
              <w:t xml:space="preserve">0.603 </w:t>
            </w:r>
          </w:p>
        </w:tc>
        <w:tc>
          <w:tcPr>
            <w:tcW w:w="821" w:type="dxa"/>
            <w:tcBorders>
              <w:top w:val="single" w:sz="4" w:space="0" w:color="000000"/>
              <w:left w:val="single" w:sz="4" w:space="0" w:color="000000"/>
              <w:bottom w:val="single" w:sz="4" w:space="0" w:color="000000"/>
              <w:right w:val="single" w:sz="4" w:space="0" w:color="000000"/>
            </w:tcBorders>
            <w:vAlign w:val="center"/>
          </w:tcPr>
          <w:p w14:paraId="7080A9A9" w14:textId="77777777" w:rsidR="009C7506" w:rsidRDefault="008B3AB3">
            <w:pPr>
              <w:spacing w:after="0" w:line="259" w:lineRule="auto"/>
              <w:ind w:left="55" w:right="0" w:firstLine="0"/>
              <w:jc w:val="left"/>
            </w:pPr>
            <w:r>
              <w:t xml:space="preserve">0.027 </w:t>
            </w:r>
          </w:p>
        </w:tc>
        <w:tc>
          <w:tcPr>
            <w:tcW w:w="931" w:type="dxa"/>
            <w:tcBorders>
              <w:top w:val="single" w:sz="4" w:space="0" w:color="000000"/>
              <w:left w:val="single" w:sz="4" w:space="0" w:color="000000"/>
              <w:bottom w:val="single" w:sz="4" w:space="0" w:color="000000"/>
              <w:right w:val="nil"/>
            </w:tcBorders>
            <w:vAlign w:val="center"/>
          </w:tcPr>
          <w:p w14:paraId="12F9A438" w14:textId="77777777" w:rsidR="009C7506" w:rsidRDefault="008B3AB3">
            <w:pPr>
              <w:spacing w:after="0" w:line="259" w:lineRule="auto"/>
              <w:ind w:left="0" w:right="53" w:firstLine="0"/>
              <w:jc w:val="center"/>
            </w:pPr>
            <w:r>
              <w:t xml:space="preserve">2.50 </w:t>
            </w:r>
          </w:p>
        </w:tc>
      </w:tr>
      <w:tr w:rsidR="009C7506" w14:paraId="28CEF3DF" w14:textId="77777777">
        <w:trPr>
          <w:trHeight w:val="946"/>
        </w:trPr>
        <w:tc>
          <w:tcPr>
            <w:tcW w:w="1085" w:type="dxa"/>
            <w:tcBorders>
              <w:top w:val="single" w:sz="4" w:space="0" w:color="000000"/>
              <w:left w:val="nil"/>
              <w:bottom w:val="single" w:sz="4" w:space="0" w:color="000000"/>
              <w:right w:val="single" w:sz="4" w:space="0" w:color="000000"/>
            </w:tcBorders>
            <w:vAlign w:val="center"/>
          </w:tcPr>
          <w:p w14:paraId="2588CF9D" w14:textId="77777777" w:rsidR="009C7506" w:rsidRDefault="008B3AB3">
            <w:pPr>
              <w:spacing w:after="0" w:line="259" w:lineRule="auto"/>
              <w:ind w:left="0" w:firstLine="0"/>
              <w:jc w:val="center"/>
            </w:pPr>
            <w:r>
              <w:rPr>
                <w:i/>
              </w:rPr>
              <w:t xml:space="preserve">LTD </w:t>
            </w:r>
          </w:p>
        </w:tc>
        <w:tc>
          <w:tcPr>
            <w:tcW w:w="2401" w:type="dxa"/>
            <w:tcBorders>
              <w:top w:val="single" w:sz="4" w:space="0" w:color="000000"/>
              <w:left w:val="single" w:sz="4" w:space="0" w:color="000000"/>
              <w:bottom w:val="single" w:sz="4" w:space="0" w:color="000000"/>
              <w:right w:val="single" w:sz="4" w:space="0" w:color="000000"/>
            </w:tcBorders>
            <w:vAlign w:val="center"/>
          </w:tcPr>
          <w:p w14:paraId="0C919155" w14:textId="77777777" w:rsidR="009C7506" w:rsidRDefault="008B3AB3">
            <w:pPr>
              <w:spacing w:after="0" w:line="259" w:lineRule="auto"/>
              <w:ind w:left="22" w:right="22" w:firstLine="0"/>
              <w:jc w:val="center"/>
            </w:pPr>
            <w:r>
              <w:t xml:space="preserve">Loan-to-deposit ratio(%) </w:t>
            </w:r>
          </w:p>
        </w:tc>
        <w:tc>
          <w:tcPr>
            <w:tcW w:w="876" w:type="dxa"/>
            <w:tcBorders>
              <w:top w:val="single" w:sz="4" w:space="0" w:color="000000"/>
              <w:left w:val="single" w:sz="4" w:space="0" w:color="000000"/>
              <w:bottom w:val="single" w:sz="4" w:space="0" w:color="000000"/>
              <w:right w:val="single" w:sz="4" w:space="0" w:color="000000"/>
            </w:tcBorders>
            <w:vAlign w:val="center"/>
          </w:tcPr>
          <w:p w14:paraId="47810E72" w14:textId="77777777" w:rsidR="009C7506" w:rsidRDefault="008B3AB3">
            <w:pPr>
              <w:spacing w:after="0" w:line="259" w:lineRule="auto"/>
              <w:ind w:left="0" w:right="58" w:firstLine="0"/>
              <w:jc w:val="center"/>
            </w:pPr>
            <w:r>
              <w:t xml:space="preserve">350 </w:t>
            </w:r>
          </w:p>
        </w:tc>
        <w:tc>
          <w:tcPr>
            <w:tcW w:w="1046" w:type="dxa"/>
            <w:tcBorders>
              <w:top w:val="single" w:sz="4" w:space="0" w:color="000000"/>
              <w:left w:val="single" w:sz="4" w:space="0" w:color="000000"/>
              <w:bottom w:val="single" w:sz="4" w:space="0" w:color="000000"/>
              <w:right w:val="single" w:sz="4" w:space="0" w:color="000000"/>
            </w:tcBorders>
            <w:vAlign w:val="center"/>
          </w:tcPr>
          <w:p w14:paraId="3D13F777" w14:textId="77777777" w:rsidR="009C7506" w:rsidRDefault="008B3AB3">
            <w:pPr>
              <w:spacing w:after="0" w:line="259" w:lineRule="auto"/>
              <w:ind w:left="58" w:right="0" w:firstLine="0"/>
              <w:jc w:val="left"/>
            </w:pPr>
            <w:r>
              <w:t xml:space="preserve">109.025 </w:t>
            </w:r>
          </w:p>
        </w:tc>
        <w:tc>
          <w:tcPr>
            <w:tcW w:w="1366" w:type="dxa"/>
            <w:tcBorders>
              <w:top w:val="single" w:sz="4" w:space="0" w:color="000000"/>
              <w:left w:val="single" w:sz="4" w:space="0" w:color="000000"/>
              <w:bottom w:val="single" w:sz="4" w:space="0" w:color="000000"/>
              <w:right w:val="single" w:sz="4" w:space="0" w:color="000000"/>
            </w:tcBorders>
            <w:vAlign w:val="center"/>
          </w:tcPr>
          <w:p w14:paraId="42097815" w14:textId="77777777" w:rsidR="009C7506" w:rsidRDefault="008B3AB3">
            <w:pPr>
              <w:spacing w:after="0" w:line="259" w:lineRule="auto"/>
              <w:ind w:left="0" w:right="56" w:firstLine="0"/>
              <w:jc w:val="center"/>
            </w:pPr>
            <w:r>
              <w:t xml:space="preserve">80.608 </w:t>
            </w:r>
          </w:p>
        </w:tc>
        <w:tc>
          <w:tcPr>
            <w:tcW w:w="821" w:type="dxa"/>
            <w:tcBorders>
              <w:top w:val="single" w:sz="4" w:space="0" w:color="000000"/>
              <w:left w:val="single" w:sz="4" w:space="0" w:color="000000"/>
              <w:bottom w:val="single" w:sz="4" w:space="0" w:color="000000"/>
              <w:right w:val="single" w:sz="4" w:space="0" w:color="000000"/>
            </w:tcBorders>
            <w:vAlign w:val="center"/>
          </w:tcPr>
          <w:p w14:paraId="00508E08" w14:textId="77777777" w:rsidR="009C7506" w:rsidRDefault="008B3AB3">
            <w:pPr>
              <w:spacing w:after="0" w:line="259" w:lineRule="auto"/>
              <w:ind w:left="0" w:right="0" w:firstLine="0"/>
              <w:jc w:val="left"/>
            </w:pPr>
            <w:r>
              <w:t xml:space="preserve">0.6839 </w:t>
            </w:r>
          </w:p>
        </w:tc>
        <w:tc>
          <w:tcPr>
            <w:tcW w:w="931" w:type="dxa"/>
            <w:tcBorders>
              <w:top w:val="single" w:sz="4" w:space="0" w:color="000000"/>
              <w:left w:val="single" w:sz="4" w:space="0" w:color="000000"/>
              <w:bottom w:val="single" w:sz="4" w:space="0" w:color="000000"/>
              <w:right w:val="nil"/>
            </w:tcBorders>
            <w:vAlign w:val="center"/>
          </w:tcPr>
          <w:p w14:paraId="2D657890" w14:textId="77777777" w:rsidR="009C7506" w:rsidRDefault="008B3AB3">
            <w:pPr>
              <w:spacing w:after="0" w:line="259" w:lineRule="auto"/>
              <w:ind w:left="0" w:right="0" w:firstLine="0"/>
              <w:jc w:val="left"/>
            </w:pPr>
            <w:r>
              <w:t xml:space="preserve">368.421 </w:t>
            </w:r>
          </w:p>
        </w:tc>
      </w:tr>
    </w:tbl>
    <w:p w14:paraId="266E85C9" w14:textId="77777777" w:rsidR="009C7506" w:rsidRDefault="008B3AB3">
      <w:pPr>
        <w:spacing w:after="0" w:line="259" w:lineRule="auto"/>
        <w:ind w:left="394" w:right="437"/>
        <w:jc w:val="center"/>
      </w:pPr>
      <w:r>
        <w:t xml:space="preserve">Panel B </w:t>
      </w:r>
    </w:p>
    <w:tbl>
      <w:tblPr>
        <w:tblStyle w:val="TableGrid"/>
        <w:tblW w:w="8541" w:type="dxa"/>
        <w:tblInd w:w="-122" w:type="dxa"/>
        <w:tblCellMar>
          <w:top w:w="0" w:type="dxa"/>
          <w:left w:w="108" w:type="dxa"/>
          <w:bottom w:w="0" w:type="dxa"/>
          <w:right w:w="53" w:type="dxa"/>
        </w:tblCellMar>
        <w:tblLook w:val="04A0" w:firstRow="1" w:lastRow="0" w:firstColumn="1" w:lastColumn="0" w:noHBand="0" w:noVBand="1"/>
      </w:tblPr>
      <w:tblGrid>
        <w:gridCol w:w="1100"/>
        <w:gridCol w:w="2401"/>
        <w:gridCol w:w="876"/>
        <w:gridCol w:w="1046"/>
        <w:gridCol w:w="1366"/>
        <w:gridCol w:w="821"/>
        <w:gridCol w:w="931"/>
      </w:tblGrid>
      <w:tr w:rsidR="009C7506" w14:paraId="06EB6BC2" w14:textId="77777777">
        <w:trPr>
          <w:trHeight w:val="1124"/>
        </w:trPr>
        <w:tc>
          <w:tcPr>
            <w:tcW w:w="1099" w:type="dxa"/>
            <w:tcBorders>
              <w:top w:val="single" w:sz="4" w:space="0" w:color="000000"/>
              <w:left w:val="nil"/>
              <w:bottom w:val="single" w:sz="4" w:space="0" w:color="000000"/>
              <w:right w:val="single" w:sz="4" w:space="0" w:color="000000"/>
            </w:tcBorders>
            <w:vAlign w:val="center"/>
          </w:tcPr>
          <w:p w14:paraId="790F2657" w14:textId="77777777" w:rsidR="009C7506" w:rsidRDefault="008B3AB3">
            <w:pPr>
              <w:spacing w:after="0" w:line="259" w:lineRule="auto"/>
              <w:ind w:left="0" w:right="0" w:firstLine="0"/>
              <w:jc w:val="center"/>
            </w:pPr>
            <w:r>
              <w:t xml:space="preserve">Financial indicators </w:t>
            </w:r>
          </w:p>
        </w:tc>
        <w:tc>
          <w:tcPr>
            <w:tcW w:w="2401" w:type="dxa"/>
            <w:tcBorders>
              <w:top w:val="single" w:sz="4" w:space="0" w:color="000000"/>
              <w:left w:val="single" w:sz="4" w:space="0" w:color="000000"/>
              <w:bottom w:val="single" w:sz="4" w:space="0" w:color="000000"/>
              <w:right w:val="single" w:sz="4" w:space="0" w:color="000000"/>
            </w:tcBorders>
            <w:vAlign w:val="center"/>
          </w:tcPr>
          <w:p w14:paraId="553ECBE5" w14:textId="77777777" w:rsidR="009C7506" w:rsidRDefault="008B3AB3">
            <w:pPr>
              <w:spacing w:after="0" w:line="259" w:lineRule="auto"/>
              <w:ind w:left="0" w:right="56" w:firstLine="0"/>
              <w:jc w:val="center"/>
            </w:pPr>
            <w:r>
              <w:t xml:space="preserve">Definition </w:t>
            </w:r>
          </w:p>
        </w:tc>
        <w:tc>
          <w:tcPr>
            <w:tcW w:w="876" w:type="dxa"/>
            <w:tcBorders>
              <w:top w:val="single" w:sz="4" w:space="0" w:color="000000"/>
              <w:left w:val="single" w:sz="4" w:space="0" w:color="000000"/>
              <w:bottom w:val="single" w:sz="4" w:space="0" w:color="000000"/>
              <w:right w:val="single" w:sz="4" w:space="0" w:color="000000"/>
            </w:tcBorders>
          </w:tcPr>
          <w:p w14:paraId="6520E66F" w14:textId="77777777" w:rsidR="009C7506" w:rsidRDefault="008B3AB3">
            <w:pPr>
              <w:spacing w:after="0" w:line="259" w:lineRule="auto"/>
              <w:ind w:left="0" w:right="0" w:firstLine="0"/>
              <w:jc w:val="center"/>
            </w:pPr>
            <w:r>
              <w:t xml:space="preserve">Sample volume </w:t>
            </w:r>
          </w:p>
        </w:tc>
        <w:tc>
          <w:tcPr>
            <w:tcW w:w="1046" w:type="dxa"/>
            <w:tcBorders>
              <w:top w:val="single" w:sz="4" w:space="0" w:color="000000"/>
              <w:left w:val="single" w:sz="4" w:space="0" w:color="000000"/>
              <w:bottom w:val="single" w:sz="4" w:space="0" w:color="000000"/>
              <w:right w:val="single" w:sz="4" w:space="0" w:color="000000"/>
            </w:tcBorders>
          </w:tcPr>
          <w:p w14:paraId="3A350CC9" w14:textId="77777777" w:rsidR="009C7506" w:rsidRDefault="008B3AB3">
            <w:pPr>
              <w:spacing w:after="0" w:line="259" w:lineRule="auto"/>
              <w:ind w:left="0" w:right="0" w:firstLine="0"/>
            </w:pPr>
            <w:r>
              <w:t xml:space="preserve">Mean(%) </w:t>
            </w:r>
          </w:p>
        </w:tc>
        <w:tc>
          <w:tcPr>
            <w:tcW w:w="1366" w:type="dxa"/>
            <w:tcBorders>
              <w:top w:val="single" w:sz="4" w:space="0" w:color="000000"/>
              <w:left w:val="single" w:sz="4" w:space="0" w:color="000000"/>
              <w:bottom w:val="single" w:sz="4" w:space="0" w:color="000000"/>
              <w:right w:val="single" w:sz="4" w:space="0" w:color="000000"/>
            </w:tcBorders>
          </w:tcPr>
          <w:p w14:paraId="20385A68" w14:textId="77777777" w:rsidR="009C7506" w:rsidRDefault="008B3AB3">
            <w:pPr>
              <w:spacing w:after="0" w:line="259" w:lineRule="auto"/>
              <w:ind w:left="0" w:right="0" w:firstLine="0"/>
              <w:jc w:val="center"/>
            </w:pPr>
            <w:r>
              <w:t xml:space="preserve">The standard deviation(%) </w:t>
            </w:r>
          </w:p>
        </w:tc>
        <w:tc>
          <w:tcPr>
            <w:tcW w:w="821" w:type="dxa"/>
            <w:tcBorders>
              <w:top w:val="single" w:sz="4" w:space="0" w:color="000000"/>
              <w:left w:val="single" w:sz="4" w:space="0" w:color="000000"/>
              <w:bottom w:val="single" w:sz="4" w:space="0" w:color="000000"/>
              <w:right w:val="single" w:sz="4" w:space="0" w:color="000000"/>
            </w:tcBorders>
          </w:tcPr>
          <w:p w14:paraId="2CF10406" w14:textId="77777777" w:rsidR="009C7506" w:rsidRDefault="008B3AB3">
            <w:pPr>
              <w:spacing w:after="192" w:line="259" w:lineRule="auto"/>
              <w:ind w:left="0" w:right="173" w:firstLine="0"/>
              <w:jc w:val="right"/>
            </w:pPr>
            <w:r>
              <w:t xml:space="preserve">Min  </w:t>
            </w:r>
          </w:p>
          <w:p w14:paraId="35343585" w14:textId="77777777" w:rsidR="009C7506" w:rsidRDefault="008B3AB3">
            <w:pPr>
              <w:spacing w:after="0" w:line="259" w:lineRule="auto"/>
              <w:ind w:left="0" w:right="56" w:firstLine="0"/>
              <w:jc w:val="center"/>
            </w:pPr>
            <w:r>
              <w:t xml:space="preserve">(%) </w:t>
            </w:r>
          </w:p>
        </w:tc>
        <w:tc>
          <w:tcPr>
            <w:tcW w:w="931" w:type="dxa"/>
            <w:tcBorders>
              <w:top w:val="single" w:sz="4" w:space="0" w:color="000000"/>
              <w:left w:val="single" w:sz="4" w:space="0" w:color="000000"/>
              <w:bottom w:val="single" w:sz="4" w:space="0" w:color="000000"/>
              <w:right w:val="nil"/>
            </w:tcBorders>
          </w:tcPr>
          <w:p w14:paraId="2EF5F2E7" w14:textId="77777777" w:rsidR="009C7506" w:rsidRDefault="008B3AB3">
            <w:pPr>
              <w:spacing w:after="192" w:line="259" w:lineRule="auto"/>
              <w:ind w:left="0" w:right="212" w:firstLine="0"/>
              <w:jc w:val="right"/>
            </w:pPr>
            <w:r>
              <w:t xml:space="preserve">Max  </w:t>
            </w:r>
          </w:p>
          <w:p w14:paraId="2C745B9D" w14:textId="77777777" w:rsidR="009C7506" w:rsidRDefault="008B3AB3">
            <w:pPr>
              <w:spacing w:after="0" w:line="259" w:lineRule="auto"/>
              <w:ind w:left="0" w:right="56" w:firstLine="0"/>
              <w:jc w:val="center"/>
            </w:pPr>
            <w:r>
              <w:t xml:space="preserve">(%) </w:t>
            </w:r>
          </w:p>
        </w:tc>
      </w:tr>
      <w:tr w:rsidR="009C7506" w14:paraId="3F34571B" w14:textId="77777777">
        <w:trPr>
          <w:trHeight w:val="946"/>
        </w:trPr>
        <w:tc>
          <w:tcPr>
            <w:tcW w:w="1099" w:type="dxa"/>
            <w:tcBorders>
              <w:top w:val="single" w:sz="4" w:space="0" w:color="000000"/>
              <w:left w:val="nil"/>
              <w:bottom w:val="single" w:sz="4" w:space="0" w:color="000000"/>
              <w:right w:val="single" w:sz="4" w:space="0" w:color="000000"/>
            </w:tcBorders>
            <w:vAlign w:val="center"/>
          </w:tcPr>
          <w:p w14:paraId="10919D2A" w14:textId="77777777" w:rsidR="009C7506" w:rsidRDefault="008B3AB3">
            <w:pPr>
              <w:spacing w:after="0" w:line="259" w:lineRule="auto"/>
              <w:ind w:left="0" w:right="41" w:firstLine="0"/>
              <w:jc w:val="center"/>
            </w:pPr>
            <w:r>
              <w:t xml:space="preserve">Y1 </w:t>
            </w:r>
          </w:p>
        </w:tc>
        <w:tc>
          <w:tcPr>
            <w:tcW w:w="2401" w:type="dxa"/>
            <w:tcBorders>
              <w:top w:val="single" w:sz="4" w:space="0" w:color="000000"/>
              <w:left w:val="single" w:sz="4" w:space="0" w:color="000000"/>
              <w:bottom w:val="single" w:sz="4" w:space="0" w:color="000000"/>
              <w:right w:val="single" w:sz="4" w:space="0" w:color="000000"/>
            </w:tcBorders>
            <w:vAlign w:val="center"/>
          </w:tcPr>
          <w:p w14:paraId="3D4703C3" w14:textId="77777777" w:rsidR="009C7506" w:rsidRDefault="008B3AB3">
            <w:pPr>
              <w:spacing w:after="192" w:line="259" w:lineRule="auto"/>
              <w:ind w:left="0" w:firstLine="0"/>
              <w:jc w:val="center"/>
            </w:pPr>
            <w:r>
              <w:t xml:space="preserve">Short-term solvency </w:t>
            </w:r>
          </w:p>
          <w:p w14:paraId="68682FD2" w14:textId="77777777" w:rsidR="009C7506" w:rsidRDefault="008B3AB3">
            <w:pPr>
              <w:spacing w:after="0" w:line="259" w:lineRule="auto"/>
              <w:ind w:left="0" w:firstLine="0"/>
              <w:jc w:val="center"/>
            </w:pPr>
            <w:r>
              <w:t xml:space="preserve">factor </w:t>
            </w:r>
          </w:p>
        </w:tc>
        <w:tc>
          <w:tcPr>
            <w:tcW w:w="876" w:type="dxa"/>
            <w:tcBorders>
              <w:top w:val="single" w:sz="4" w:space="0" w:color="000000"/>
              <w:left w:val="single" w:sz="4" w:space="0" w:color="000000"/>
              <w:bottom w:val="single" w:sz="4" w:space="0" w:color="000000"/>
              <w:right w:val="single" w:sz="4" w:space="0" w:color="000000"/>
            </w:tcBorders>
            <w:vAlign w:val="center"/>
          </w:tcPr>
          <w:p w14:paraId="7FFF7F46" w14:textId="77777777" w:rsidR="009C7506" w:rsidRDefault="008B3AB3">
            <w:pPr>
              <w:spacing w:after="0" w:line="259" w:lineRule="auto"/>
              <w:ind w:left="0" w:right="58" w:firstLine="0"/>
              <w:jc w:val="center"/>
            </w:pPr>
            <w:r>
              <w:t xml:space="preserve">431 </w:t>
            </w:r>
          </w:p>
        </w:tc>
        <w:tc>
          <w:tcPr>
            <w:tcW w:w="1046" w:type="dxa"/>
            <w:tcBorders>
              <w:top w:val="single" w:sz="4" w:space="0" w:color="000000"/>
              <w:left w:val="single" w:sz="4" w:space="0" w:color="000000"/>
              <w:bottom w:val="single" w:sz="4" w:space="0" w:color="000000"/>
              <w:right w:val="single" w:sz="4" w:space="0" w:color="000000"/>
            </w:tcBorders>
            <w:vAlign w:val="center"/>
          </w:tcPr>
          <w:p w14:paraId="07C2A787" w14:textId="77777777" w:rsidR="009C7506" w:rsidRDefault="008B3AB3">
            <w:pPr>
              <w:spacing w:after="0" w:line="259" w:lineRule="auto"/>
              <w:ind w:left="22" w:right="0" w:firstLine="0"/>
              <w:jc w:val="left"/>
            </w:pPr>
            <w:r>
              <w:t xml:space="preserve">-0.00003 </w:t>
            </w:r>
          </w:p>
        </w:tc>
        <w:tc>
          <w:tcPr>
            <w:tcW w:w="1366" w:type="dxa"/>
            <w:tcBorders>
              <w:top w:val="single" w:sz="4" w:space="0" w:color="000000"/>
              <w:left w:val="single" w:sz="4" w:space="0" w:color="000000"/>
              <w:bottom w:val="single" w:sz="4" w:space="0" w:color="000000"/>
              <w:right w:val="single" w:sz="4" w:space="0" w:color="000000"/>
            </w:tcBorders>
            <w:vAlign w:val="center"/>
          </w:tcPr>
          <w:p w14:paraId="51A1ACB3" w14:textId="77777777" w:rsidR="009C7506" w:rsidRDefault="008B3AB3">
            <w:pPr>
              <w:spacing w:after="0" w:line="259" w:lineRule="auto"/>
              <w:ind w:left="0" w:right="56" w:firstLine="0"/>
              <w:jc w:val="center"/>
            </w:pPr>
            <w:r>
              <w:t xml:space="preserve">0.07399 </w:t>
            </w:r>
          </w:p>
        </w:tc>
        <w:tc>
          <w:tcPr>
            <w:tcW w:w="821" w:type="dxa"/>
            <w:tcBorders>
              <w:top w:val="single" w:sz="4" w:space="0" w:color="000000"/>
              <w:left w:val="single" w:sz="4" w:space="0" w:color="000000"/>
              <w:bottom w:val="single" w:sz="4" w:space="0" w:color="000000"/>
              <w:right w:val="single" w:sz="4" w:space="0" w:color="000000"/>
            </w:tcBorders>
            <w:vAlign w:val="center"/>
          </w:tcPr>
          <w:p w14:paraId="426B33E2" w14:textId="77777777" w:rsidR="009C7506" w:rsidRDefault="008B3AB3">
            <w:pPr>
              <w:spacing w:after="0" w:line="259" w:lineRule="auto"/>
              <w:ind w:left="17" w:right="0" w:firstLine="0"/>
              <w:jc w:val="left"/>
            </w:pPr>
            <w:r>
              <w:t xml:space="preserve">-0.120 </w:t>
            </w:r>
          </w:p>
        </w:tc>
        <w:tc>
          <w:tcPr>
            <w:tcW w:w="931" w:type="dxa"/>
            <w:tcBorders>
              <w:top w:val="single" w:sz="4" w:space="0" w:color="000000"/>
              <w:left w:val="single" w:sz="4" w:space="0" w:color="000000"/>
              <w:bottom w:val="single" w:sz="4" w:space="0" w:color="000000"/>
              <w:right w:val="nil"/>
            </w:tcBorders>
            <w:vAlign w:val="center"/>
          </w:tcPr>
          <w:p w14:paraId="25B22B50" w14:textId="77777777" w:rsidR="009C7506" w:rsidRDefault="008B3AB3">
            <w:pPr>
              <w:spacing w:after="0" w:line="259" w:lineRule="auto"/>
              <w:ind w:left="0" w:right="53" w:firstLine="0"/>
              <w:jc w:val="center"/>
            </w:pPr>
            <w:r>
              <w:t xml:space="preserve">0.301 </w:t>
            </w:r>
          </w:p>
        </w:tc>
      </w:tr>
      <w:tr w:rsidR="009C7506" w14:paraId="68959ADB" w14:textId="77777777">
        <w:trPr>
          <w:trHeight w:val="946"/>
        </w:trPr>
        <w:tc>
          <w:tcPr>
            <w:tcW w:w="1099" w:type="dxa"/>
            <w:tcBorders>
              <w:top w:val="single" w:sz="4" w:space="0" w:color="000000"/>
              <w:left w:val="nil"/>
              <w:bottom w:val="single" w:sz="4" w:space="0" w:color="000000"/>
              <w:right w:val="single" w:sz="4" w:space="0" w:color="000000"/>
            </w:tcBorders>
            <w:vAlign w:val="center"/>
          </w:tcPr>
          <w:p w14:paraId="55FE85BE" w14:textId="77777777" w:rsidR="009C7506" w:rsidRDefault="008B3AB3">
            <w:pPr>
              <w:spacing w:after="0" w:line="259" w:lineRule="auto"/>
              <w:ind w:left="0" w:right="41" w:firstLine="0"/>
              <w:jc w:val="center"/>
            </w:pPr>
            <w:r>
              <w:t xml:space="preserve">Y2 </w:t>
            </w:r>
          </w:p>
        </w:tc>
        <w:tc>
          <w:tcPr>
            <w:tcW w:w="2401" w:type="dxa"/>
            <w:tcBorders>
              <w:top w:val="single" w:sz="4" w:space="0" w:color="000000"/>
              <w:left w:val="single" w:sz="4" w:space="0" w:color="000000"/>
              <w:bottom w:val="single" w:sz="4" w:space="0" w:color="000000"/>
              <w:right w:val="single" w:sz="4" w:space="0" w:color="000000"/>
            </w:tcBorders>
            <w:vAlign w:val="center"/>
          </w:tcPr>
          <w:p w14:paraId="205DA92F" w14:textId="77777777" w:rsidR="009C7506" w:rsidRDefault="008B3AB3">
            <w:pPr>
              <w:spacing w:after="192" w:line="259" w:lineRule="auto"/>
              <w:ind w:left="67" w:right="0" w:firstLine="0"/>
              <w:jc w:val="left"/>
            </w:pPr>
            <w:r>
              <w:t xml:space="preserve">Long-term profitability </w:t>
            </w:r>
          </w:p>
          <w:p w14:paraId="44303DC6" w14:textId="77777777" w:rsidR="009C7506" w:rsidRDefault="008B3AB3">
            <w:pPr>
              <w:spacing w:after="0" w:line="259" w:lineRule="auto"/>
              <w:ind w:left="0" w:firstLine="0"/>
              <w:jc w:val="center"/>
            </w:pPr>
            <w:r>
              <w:t xml:space="preserve">factor </w:t>
            </w:r>
          </w:p>
        </w:tc>
        <w:tc>
          <w:tcPr>
            <w:tcW w:w="876" w:type="dxa"/>
            <w:tcBorders>
              <w:top w:val="single" w:sz="4" w:space="0" w:color="000000"/>
              <w:left w:val="single" w:sz="4" w:space="0" w:color="000000"/>
              <w:bottom w:val="single" w:sz="4" w:space="0" w:color="000000"/>
              <w:right w:val="single" w:sz="4" w:space="0" w:color="000000"/>
            </w:tcBorders>
            <w:vAlign w:val="center"/>
          </w:tcPr>
          <w:p w14:paraId="09BEBCA2" w14:textId="77777777" w:rsidR="009C7506" w:rsidRDefault="008B3AB3">
            <w:pPr>
              <w:spacing w:after="0" w:line="259" w:lineRule="auto"/>
              <w:ind w:left="0" w:right="58" w:firstLine="0"/>
              <w:jc w:val="center"/>
            </w:pPr>
            <w:r>
              <w:t xml:space="preserve">431 </w:t>
            </w:r>
          </w:p>
        </w:tc>
        <w:tc>
          <w:tcPr>
            <w:tcW w:w="1046" w:type="dxa"/>
            <w:tcBorders>
              <w:top w:val="single" w:sz="4" w:space="0" w:color="000000"/>
              <w:left w:val="single" w:sz="4" w:space="0" w:color="000000"/>
              <w:bottom w:val="single" w:sz="4" w:space="0" w:color="000000"/>
              <w:right w:val="single" w:sz="4" w:space="0" w:color="000000"/>
            </w:tcBorders>
            <w:vAlign w:val="center"/>
          </w:tcPr>
          <w:p w14:paraId="7557554F" w14:textId="77777777" w:rsidR="009C7506" w:rsidRDefault="008B3AB3">
            <w:pPr>
              <w:spacing w:after="0" w:line="259" w:lineRule="auto"/>
              <w:ind w:left="60" w:right="0" w:firstLine="0"/>
              <w:jc w:val="left"/>
            </w:pPr>
            <w:r>
              <w:t xml:space="preserve">0.05511 </w:t>
            </w:r>
          </w:p>
        </w:tc>
        <w:tc>
          <w:tcPr>
            <w:tcW w:w="1366" w:type="dxa"/>
            <w:tcBorders>
              <w:top w:val="single" w:sz="4" w:space="0" w:color="000000"/>
              <w:left w:val="single" w:sz="4" w:space="0" w:color="000000"/>
              <w:bottom w:val="single" w:sz="4" w:space="0" w:color="000000"/>
              <w:right w:val="single" w:sz="4" w:space="0" w:color="000000"/>
            </w:tcBorders>
            <w:vAlign w:val="center"/>
          </w:tcPr>
          <w:p w14:paraId="3270BC53" w14:textId="77777777" w:rsidR="009C7506" w:rsidRDefault="008B3AB3">
            <w:pPr>
              <w:spacing w:after="0" w:line="259" w:lineRule="auto"/>
              <w:ind w:left="0" w:right="56" w:firstLine="0"/>
              <w:jc w:val="center"/>
            </w:pPr>
            <w:r>
              <w:t xml:space="preserve">0.26144 </w:t>
            </w:r>
          </w:p>
        </w:tc>
        <w:tc>
          <w:tcPr>
            <w:tcW w:w="821" w:type="dxa"/>
            <w:tcBorders>
              <w:top w:val="single" w:sz="4" w:space="0" w:color="000000"/>
              <w:left w:val="single" w:sz="4" w:space="0" w:color="000000"/>
              <w:bottom w:val="single" w:sz="4" w:space="0" w:color="000000"/>
              <w:right w:val="single" w:sz="4" w:space="0" w:color="000000"/>
            </w:tcBorders>
            <w:vAlign w:val="center"/>
          </w:tcPr>
          <w:p w14:paraId="29F5831C" w14:textId="77777777" w:rsidR="009C7506" w:rsidRDefault="008B3AB3">
            <w:pPr>
              <w:spacing w:after="0" w:line="259" w:lineRule="auto"/>
              <w:ind w:left="17" w:right="0" w:firstLine="0"/>
              <w:jc w:val="left"/>
            </w:pPr>
            <w:r>
              <w:t xml:space="preserve">-0.421 </w:t>
            </w:r>
          </w:p>
        </w:tc>
        <w:tc>
          <w:tcPr>
            <w:tcW w:w="931" w:type="dxa"/>
            <w:tcBorders>
              <w:top w:val="single" w:sz="4" w:space="0" w:color="000000"/>
              <w:left w:val="single" w:sz="4" w:space="0" w:color="000000"/>
              <w:bottom w:val="single" w:sz="4" w:space="0" w:color="000000"/>
              <w:right w:val="nil"/>
            </w:tcBorders>
            <w:vAlign w:val="center"/>
          </w:tcPr>
          <w:p w14:paraId="4AB3A389" w14:textId="77777777" w:rsidR="009C7506" w:rsidRDefault="008B3AB3">
            <w:pPr>
              <w:spacing w:after="0" w:line="259" w:lineRule="auto"/>
              <w:ind w:left="0" w:right="53" w:firstLine="0"/>
              <w:jc w:val="center"/>
            </w:pPr>
            <w:r>
              <w:t xml:space="preserve">0.859 </w:t>
            </w:r>
          </w:p>
        </w:tc>
      </w:tr>
      <w:tr w:rsidR="009C7506" w14:paraId="05422EDB" w14:textId="77777777">
        <w:trPr>
          <w:trHeight w:val="946"/>
        </w:trPr>
        <w:tc>
          <w:tcPr>
            <w:tcW w:w="1099" w:type="dxa"/>
            <w:tcBorders>
              <w:top w:val="single" w:sz="4" w:space="0" w:color="000000"/>
              <w:left w:val="nil"/>
              <w:bottom w:val="single" w:sz="4" w:space="0" w:color="000000"/>
              <w:right w:val="single" w:sz="4" w:space="0" w:color="000000"/>
            </w:tcBorders>
            <w:vAlign w:val="center"/>
          </w:tcPr>
          <w:p w14:paraId="4E62A677" w14:textId="77777777" w:rsidR="009C7506" w:rsidRDefault="008B3AB3">
            <w:pPr>
              <w:spacing w:after="0" w:line="259" w:lineRule="auto"/>
              <w:ind w:left="0" w:right="41" w:firstLine="0"/>
              <w:jc w:val="center"/>
            </w:pPr>
            <w:r>
              <w:t xml:space="preserve">Y3 </w:t>
            </w:r>
          </w:p>
        </w:tc>
        <w:tc>
          <w:tcPr>
            <w:tcW w:w="2401" w:type="dxa"/>
            <w:tcBorders>
              <w:top w:val="single" w:sz="4" w:space="0" w:color="000000"/>
              <w:left w:val="single" w:sz="4" w:space="0" w:color="000000"/>
              <w:bottom w:val="single" w:sz="4" w:space="0" w:color="000000"/>
              <w:right w:val="single" w:sz="4" w:space="0" w:color="000000"/>
            </w:tcBorders>
            <w:vAlign w:val="center"/>
          </w:tcPr>
          <w:p w14:paraId="3998F414" w14:textId="77777777" w:rsidR="009C7506" w:rsidRDefault="008B3AB3">
            <w:pPr>
              <w:spacing w:after="192" w:line="259" w:lineRule="auto"/>
              <w:ind w:left="34" w:right="0" w:firstLine="0"/>
              <w:jc w:val="left"/>
            </w:pPr>
            <w:r>
              <w:t xml:space="preserve">Short -term profitability </w:t>
            </w:r>
          </w:p>
          <w:p w14:paraId="3BD87CBB" w14:textId="77777777" w:rsidR="009C7506" w:rsidRDefault="008B3AB3">
            <w:pPr>
              <w:spacing w:after="0" w:line="259" w:lineRule="auto"/>
              <w:ind w:left="0" w:firstLine="0"/>
              <w:jc w:val="center"/>
            </w:pPr>
            <w:r>
              <w:t xml:space="preserve">factor </w:t>
            </w:r>
          </w:p>
        </w:tc>
        <w:tc>
          <w:tcPr>
            <w:tcW w:w="876" w:type="dxa"/>
            <w:tcBorders>
              <w:top w:val="single" w:sz="4" w:space="0" w:color="000000"/>
              <w:left w:val="single" w:sz="4" w:space="0" w:color="000000"/>
              <w:bottom w:val="single" w:sz="4" w:space="0" w:color="000000"/>
              <w:right w:val="single" w:sz="4" w:space="0" w:color="000000"/>
            </w:tcBorders>
            <w:vAlign w:val="center"/>
          </w:tcPr>
          <w:p w14:paraId="7B35E720" w14:textId="77777777" w:rsidR="009C7506" w:rsidRDefault="008B3AB3">
            <w:pPr>
              <w:spacing w:after="0" w:line="259" w:lineRule="auto"/>
              <w:ind w:left="0" w:right="58" w:firstLine="0"/>
              <w:jc w:val="center"/>
            </w:pPr>
            <w:r>
              <w:t xml:space="preserve">431 </w:t>
            </w:r>
          </w:p>
        </w:tc>
        <w:tc>
          <w:tcPr>
            <w:tcW w:w="1046" w:type="dxa"/>
            <w:tcBorders>
              <w:top w:val="single" w:sz="4" w:space="0" w:color="000000"/>
              <w:left w:val="single" w:sz="4" w:space="0" w:color="000000"/>
              <w:bottom w:val="single" w:sz="4" w:space="0" w:color="000000"/>
              <w:right w:val="single" w:sz="4" w:space="0" w:color="000000"/>
            </w:tcBorders>
            <w:vAlign w:val="center"/>
          </w:tcPr>
          <w:p w14:paraId="5DF0A49E" w14:textId="77777777" w:rsidR="009C7506" w:rsidRDefault="008B3AB3">
            <w:pPr>
              <w:spacing w:after="0" w:line="259" w:lineRule="auto"/>
              <w:ind w:left="22" w:right="0" w:firstLine="0"/>
              <w:jc w:val="left"/>
            </w:pPr>
            <w:r>
              <w:t>-</w:t>
            </w:r>
            <w:r>
              <w:t xml:space="preserve">0.15787 </w:t>
            </w:r>
          </w:p>
        </w:tc>
        <w:tc>
          <w:tcPr>
            <w:tcW w:w="1366" w:type="dxa"/>
            <w:tcBorders>
              <w:top w:val="single" w:sz="4" w:space="0" w:color="000000"/>
              <w:left w:val="single" w:sz="4" w:space="0" w:color="000000"/>
              <w:bottom w:val="single" w:sz="4" w:space="0" w:color="000000"/>
              <w:right w:val="single" w:sz="4" w:space="0" w:color="000000"/>
            </w:tcBorders>
            <w:vAlign w:val="center"/>
          </w:tcPr>
          <w:p w14:paraId="73E8341C" w14:textId="77777777" w:rsidR="009C7506" w:rsidRDefault="008B3AB3">
            <w:pPr>
              <w:spacing w:after="0" w:line="259" w:lineRule="auto"/>
              <w:ind w:left="0" w:right="56" w:firstLine="0"/>
              <w:jc w:val="center"/>
            </w:pPr>
            <w:r>
              <w:t xml:space="preserve">0.63743 </w:t>
            </w:r>
          </w:p>
        </w:tc>
        <w:tc>
          <w:tcPr>
            <w:tcW w:w="821" w:type="dxa"/>
            <w:tcBorders>
              <w:top w:val="single" w:sz="4" w:space="0" w:color="000000"/>
              <w:left w:val="single" w:sz="4" w:space="0" w:color="000000"/>
              <w:bottom w:val="single" w:sz="4" w:space="0" w:color="000000"/>
              <w:right w:val="single" w:sz="4" w:space="0" w:color="000000"/>
            </w:tcBorders>
            <w:vAlign w:val="center"/>
          </w:tcPr>
          <w:p w14:paraId="2E2419E6" w14:textId="77777777" w:rsidR="009C7506" w:rsidRDefault="008B3AB3">
            <w:pPr>
              <w:spacing w:after="0" w:line="259" w:lineRule="auto"/>
              <w:ind w:left="17" w:right="0" w:firstLine="0"/>
              <w:jc w:val="left"/>
            </w:pPr>
            <w:r>
              <w:t xml:space="preserve">-3.364 </w:t>
            </w:r>
          </w:p>
        </w:tc>
        <w:tc>
          <w:tcPr>
            <w:tcW w:w="931" w:type="dxa"/>
            <w:tcBorders>
              <w:top w:val="single" w:sz="4" w:space="0" w:color="000000"/>
              <w:left w:val="single" w:sz="4" w:space="0" w:color="000000"/>
              <w:bottom w:val="single" w:sz="4" w:space="0" w:color="000000"/>
              <w:right w:val="nil"/>
            </w:tcBorders>
            <w:vAlign w:val="center"/>
          </w:tcPr>
          <w:p w14:paraId="3A024C9E" w14:textId="77777777" w:rsidR="009C7506" w:rsidRDefault="008B3AB3">
            <w:pPr>
              <w:spacing w:after="0" w:line="259" w:lineRule="auto"/>
              <w:ind w:left="0" w:right="53" w:firstLine="0"/>
              <w:jc w:val="center"/>
            </w:pPr>
            <w:r>
              <w:t xml:space="preserve">0.990 </w:t>
            </w:r>
          </w:p>
        </w:tc>
      </w:tr>
      <w:tr w:rsidR="009C7506" w14:paraId="2C4384E3" w14:textId="77777777">
        <w:trPr>
          <w:trHeight w:val="478"/>
        </w:trPr>
        <w:tc>
          <w:tcPr>
            <w:tcW w:w="1099" w:type="dxa"/>
            <w:tcBorders>
              <w:top w:val="single" w:sz="4" w:space="0" w:color="000000"/>
              <w:left w:val="nil"/>
              <w:bottom w:val="single" w:sz="4" w:space="0" w:color="000000"/>
              <w:right w:val="single" w:sz="4" w:space="0" w:color="000000"/>
            </w:tcBorders>
            <w:vAlign w:val="center"/>
          </w:tcPr>
          <w:p w14:paraId="570C38C9" w14:textId="77777777" w:rsidR="009C7506" w:rsidRDefault="008B3AB3">
            <w:pPr>
              <w:spacing w:after="0" w:line="259" w:lineRule="auto"/>
              <w:ind w:left="0" w:right="38" w:firstLine="0"/>
              <w:jc w:val="center"/>
            </w:pPr>
            <w:r>
              <w:lastRenderedPageBreak/>
              <w:t xml:space="preserve">Y4 </w:t>
            </w:r>
          </w:p>
        </w:tc>
        <w:tc>
          <w:tcPr>
            <w:tcW w:w="2401" w:type="dxa"/>
            <w:tcBorders>
              <w:top w:val="single" w:sz="4" w:space="0" w:color="000000"/>
              <w:left w:val="single" w:sz="4" w:space="0" w:color="000000"/>
              <w:bottom w:val="single" w:sz="4" w:space="0" w:color="000000"/>
              <w:right w:val="single" w:sz="4" w:space="0" w:color="000000"/>
            </w:tcBorders>
            <w:vAlign w:val="center"/>
          </w:tcPr>
          <w:p w14:paraId="0AEB5DD3" w14:textId="77777777" w:rsidR="009C7506" w:rsidRDefault="008B3AB3">
            <w:pPr>
              <w:spacing w:after="0" w:line="259" w:lineRule="auto"/>
              <w:ind w:left="0" w:right="52" w:firstLine="0"/>
              <w:jc w:val="center"/>
            </w:pPr>
            <w:r>
              <w:t xml:space="preserve">Liquidity capacity </w:t>
            </w:r>
          </w:p>
        </w:tc>
        <w:tc>
          <w:tcPr>
            <w:tcW w:w="876" w:type="dxa"/>
            <w:tcBorders>
              <w:top w:val="single" w:sz="4" w:space="0" w:color="000000"/>
              <w:left w:val="single" w:sz="4" w:space="0" w:color="000000"/>
              <w:bottom w:val="single" w:sz="4" w:space="0" w:color="000000"/>
              <w:right w:val="single" w:sz="4" w:space="0" w:color="000000"/>
            </w:tcBorders>
            <w:vAlign w:val="center"/>
          </w:tcPr>
          <w:p w14:paraId="027B2339" w14:textId="77777777" w:rsidR="009C7506" w:rsidRDefault="008B3AB3">
            <w:pPr>
              <w:spacing w:after="0" w:line="259" w:lineRule="auto"/>
              <w:ind w:left="0" w:right="56" w:firstLine="0"/>
              <w:jc w:val="center"/>
            </w:pPr>
            <w:r>
              <w:t xml:space="preserve">431 </w:t>
            </w:r>
          </w:p>
        </w:tc>
        <w:tc>
          <w:tcPr>
            <w:tcW w:w="1046" w:type="dxa"/>
            <w:tcBorders>
              <w:top w:val="single" w:sz="4" w:space="0" w:color="000000"/>
              <w:left w:val="single" w:sz="4" w:space="0" w:color="000000"/>
              <w:bottom w:val="single" w:sz="4" w:space="0" w:color="000000"/>
              <w:right w:val="single" w:sz="4" w:space="0" w:color="000000"/>
            </w:tcBorders>
            <w:vAlign w:val="center"/>
          </w:tcPr>
          <w:p w14:paraId="490304B1" w14:textId="77777777" w:rsidR="009C7506" w:rsidRDefault="008B3AB3">
            <w:pPr>
              <w:spacing w:after="0" w:line="259" w:lineRule="auto"/>
              <w:ind w:left="41" w:right="0" w:firstLine="0"/>
              <w:jc w:val="left"/>
            </w:pPr>
            <w:r>
              <w:t xml:space="preserve">0.06125 </w:t>
            </w:r>
          </w:p>
        </w:tc>
        <w:tc>
          <w:tcPr>
            <w:tcW w:w="1366" w:type="dxa"/>
            <w:tcBorders>
              <w:top w:val="single" w:sz="4" w:space="0" w:color="000000"/>
              <w:left w:val="single" w:sz="4" w:space="0" w:color="000000"/>
              <w:bottom w:val="single" w:sz="4" w:space="0" w:color="000000"/>
              <w:right w:val="single" w:sz="4" w:space="0" w:color="000000"/>
            </w:tcBorders>
            <w:vAlign w:val="center"/>
          </w:tcPr>
          <w:p w14:paraId="13D7E2FB" w14:textId="77777777" w:rsidR="009C7506" w:rsidRDefault="008B3AB3">
            <w:pPr>
              <w:spacing w:after="0" w:line="259" w:lineRule="auto"/>
              <w:ind w:left="0" w:right="53" w:firstLine="0"/>
              <w:jc w:val="center"/>
            </w:pPr>
            <w:r>
              <w:t xml:space="preserve">0.26419 </w:t>
            </w:r>
          </w:p>
        </w:tc>
        <w:tc>
          <w:tcPr>
            <w:tcW w:w="821" w:type="dxa"/>
            <w:tcBorders>
              <w:top w:val="single" w:sz="4" w:space="0" w:color="000000"/>
              <w:left w:val="single" w:sz="4" w:space="0" w:color="000000"/>
              <w:bottom w:val="single" w:sz="4" w:space="0" w:color="000000"/>
              <w:right w:val="single" w:sz="4" w:space="0" w:color="000000"/>
            </w:tcBorders>
            <w:vAlign w:val="center"/>
          </w:tcPr>
          <w:p w14:paraId="5C2B7825" w14:textId="77777777" w:rsidR="009C7506" w:rsidRDefault="008B3AB3">
            <w:pPr>
              <w:spacing w:after="0" w:line="259" w:lineRule="auto"/>
              <w:ind w:left="0" w:right="0" w:firstLine="0"/>
              <w:jc w:val="left"/>
            </w:pPr>
            <w:r>
              <w:t xml:space="preserve">-0.598 </w:t>
            </w:r>
          </w:p>
        </w:tc>
        <w:tc>
          <w:tcPr>
            <w:tcW w:w="931" w:type="dxa"/>
            <w:tcBorders>
              <w:top w:val="single" w:sz="4" w:space="0" w:color="000000"/>
              <w:left w:val="single" w:sz="4" w:space="0" w:color="000000"/>
              <w:bottom w:val="single" w:sz="4" w:space="0" w:color="000000"/>
              <w:right w:val="nil"/>
            </w:tcBorders>
            <w:vAlign w:val="center"/>
          </w:tcPr>
          <w:p w14:paraId="0AAD0FCB" w14:textId="77777777" w:rsidR="009C7506" w:rsidRDefault="008B3AB3">
            <w:pPr>
              <w:spacing w:after="0" w:line="259" w:lineRule="auto"/>
              <w:ind w:left="0" w:right="50" w:firstLine="0"/>
              <w:jc w:val="center"/>
            </w:pPr>
            <w:r>
              <w:t xml:space="preserve">1.050 </w:t>
            </w:r>
          </w:p>
        </w:tc>
      </w:tr>
      <w:tr w:rsidR="009C7506" w14:paraId="08ACF841" w14:textId="77777777">
        <w:trPr>
          <w:trHeight w:val="478"/>
        </w:trPr>
        <w:tc>
          <w:tcPr>
            <w:tcW w:w="1099" w:type="dxa"/>
            <w:tcBorders>
              <w:top w:val="single" w:sz="4" w:space="0" w:color="000000"/>
              <w:left w:val="nil"/>
              <w:bottom w:val="single" w:sz="4" w:space="0" w:color="000000"/>
              <w:right w:val="single" w:sz="4" w:space="0" w:color="000000"/>
            </w:tcBorders>
            <w:vAlign w:val="center"/>
          </w:tcPr>
          <w:p w14:paraId="354DBD66" w14:textId="77777777" w:rsidR="009C7506" w:rsidRDefault="008B3AB3">
            <w:pPr>
              <w:spacing w:after="0" w:line="259" w:lineRule="auto"/>
              <w:ind w:left="0" w:right="38" w:firstLine="0"/>
              <w:jc w:val="center"/>
            </w:pPr>
            <w:r>
              <w:t xml:space="preserve">Y5 </w:t>
            </w:r>
          </w:p>
        </w:tc>
        <w:tc>
          <w:tcPr>
            <w:tcW w:w="2401" w:type="dxa"/>
            <w:tcBorders>
              <w:top w:val="single" w:sz="4" w:space="0" w:color="000000"/>
              <w:left w:val="single" w:sz="4" w:space="0" w:color="000000"/>
              <w:bottom w:val="single" w:sz="4" w:space="0" w:color="000000"/>
              <w:right w:val="single" w:sz="4" w:space="0" w:color="000000"/>
            </w:tcBorders>
            <w:vAlign w:val="center"/>
          </w:tcPr>
          <w:p w14:paraId="0267D018" w14:textId="77777777" w:rsidR="009C7506" w:rsidRDefault="008B3AB3">
            <w:pPr>
              <w:spacing w:after="0" w:line="259" w:lineRule="auto"/>
              <w:ind w:left="0" w:firstLine="0"/>
              <w:jc w:val="center"/>
            </w:pPr>
            <w:r>
              <w:t xml:space="preserve">Profitability  </w:t>
            </w:r>
          </w:p>
        </w:tc>
        <w:tc>
          <w:tcPr>
            <w:tcW w:w="876" w:type="dxa"/>
            <w:tcBorders>
              <w:top w:val="single" w:sz="4" w:space="0" w:color="000000"/>
              <w:left w:val="single" w:sz="4" w:space="0" w:color="000000"/>
              <w:bottom w:val="single" w:sz="4" w:space="0" w:color="000000"/>
              <w:right w:val="single" w:sz="4" w:space="0" w:color="000000"/>
            </w:tcBorders>
            <w:vAlign w:val="center"/>
          </w:tcPr>
          <w:p w14:paraId="63A6DA9F" w14:textId="77777777" w:rsidR="009C7506" w:rsidRDefault="008B3AB3">
            <w:pPr>
              <w:spacing w:after="0" w:line="259" w:lineRule="auto"/>
              <w:ind w:left="0" w:right="56" w:firstLine="0"/>
              <w:jc w:val="center"/>
            </w:pPr>
            <w:r>
              <w:t xml:space="preserve">431 </w:t>
            </w:r>
          </w:p>
        </w:tc>
        <w:tc>
          <w:tcPr>
            <w:tcW w:w="1046" w:type="dxa"/>
            <w:tcBorders>
              <w:top w:val="single" w:sz="4" w:space="0" w:color="000000"/>
              <w:left w:val="single" w:sz="4" w:space="0" w:color="000000"/>
              <w:bottom w:val="single" w:sz="4" w:space="0" w:color="000000"/>
              <w:right w:val="single" w:sz="4" w:space="0" w:color="000000"/>
            </w:tcBorders>
            <w:vAlign w:val="center"/>
          </w:tcPr>
          <w:p w14:paraId="131DDE8F" w14:textId="77777777" w:rsidR="009C7506" w:rsidRDefault="008B3AB3">
            <w:pPr>
              <w:spacing w:after="0" w:line="259" w:lineRule="auto"/>
              <w:ind w:left="5" w:right="0" w:firstLine="0"/>
              <w:jc w:val="left"/>
            </w:pPr>
            <w:r>
              <w:t xml:space="preserve">-0.00460 </w:t>
            </w:r>
          </w:p>
        </w:tc>
        <w:tc>
          <w:tcPr>
            <w:tcW w:w="1366" w:type="dxa"/>
            <w:tcBorders>
              <w:top w:val="single" w:sz="4" w:space="0" w:color="000000"/>
              <w:left w:val="single" w:sz="4" w:space="0" w:color="000000"/>
              <w:bottom w:val="single" w:sz="4" w:space="0" w:color="000000"/>
              <w:right w:val="single" w:sz="4" w:space="0" w:color="000000"/>
            </w:tcBorders>
            <w:vAlign w:val="center"/>
          </w:tcPr>
          <w:p w14:paraId="7BEFC16D" w14:textId="77777777" w:rsidR="009C7506" w:rsidRDefault="008B3AB3">
            <w:pPr>
              <w:spacing w:after="0" w:line="259" w:lineRule="auto"/>
              <w:ind w:left="0" w:right="53" w:firstLine="0"/>
              <w:jc w:val="center"/>
            </w:pPr>
            <w:r>
              <w:t xml:space="preserve">0.03033 </w:t>
            </w:r>
          </w:p>
        </w:tc>
        <w:tc>
          <w:tcPr>
            <w:tcW w:w="821" w:type="dxa"/>
            <w:tcBorders>
              <w:top w:val="single" w:sz="4" w:space="0" w:color="000000"/>
              <w:left w:val="single" w:sz="4" w:space="0" w:color="000000"/>
              <w:bottom w:val="single" w:sz="4" w:space="0" w:color="000000"/>
              <w:right w:val="single" w:sz="4" w:space="0" w:color="000000"/>
            </w:tcBorders>
            <w:vAlign w:val="center"/>
          </w:tcPr>
          <w:p w14:paraId="37DC7C9E" w14:textId="77777777" w:rsidR="009C7506" w:rsidRDefault="008B3AB3">
            <w:pPr>
              <w:spacing w:after="0" w:line="259" w:lineRule="auto"/>
              <w:ind w:left="0" w:right="0" w:firstLine="0"/>
              <w:jc w:val="left"/>
            </w:pPr>
            <w:r>
              <w:t xml:space="preserve">-0.097 </w:t>
            </w:r>
          </w:p>
        </w:tc>
        <w:tc>
          <w:tcPr>
            <w:tcW w:w="931" w:type="dxa"/>
            <w:tcBorders>
              <w:top w:val="single" w:sz="4" w:space="0" w:color="000000"/>
              <w:left w:val="single" w:sz="4" w:space="0" w:color="000000"/>
              <w:bottom w:val="single" w:sz="4" w:space="0" w:color="000000"/>
              <w:right w:val="nil"/>
            </w:tcBorders>
            <w:vAlign w:val="center"/>
          </w:tcPr>
          <w:p w14:paraId="20A5835B" w14:textId="77777777" w:rsidR="009C7506" w:rsidRDefault="008B3AB3">
            <w:pPr>
              <w:spacing w:after="0" w:line="259" w:lineRule="auto"/>
              <w:ind w:left="0" w:right="50" w:firstLine="0"/>
              <w:jc w:val="center"/>
            </w:pPr>
            <w:r>
              <w:t xml:space="preserve">0.137 </w:t>
            </w:r>
          </w:p>
        </w:tc>
      </w:tr>
      <w:tr w:rsidR="009C7506" w14:paraId="12BD1CAD" w14:textId="77777777">
        <w:trPr>
          <w:trHeight w:val="480"/>
        </w:trPr>
        <w:tc>
          <w:tcPr>
            <w:tcW w:w="1099" w:type="dxa"/>
            <w:tcBorders>
              <w:top w:val="single" w:sz="4" w:space="0" w:color="000000"/>
              <w:left w:val="nil"/>
              <w:bottom w:val="single" w:sz="4" w:space="0" w:color="000000"/>
              <w:right w:val="single" w:sz="4" w:space="0" w:color="000000"/>
            </w:tcBorders>
            <w:vAlign w:val="center"/>
          </w:tcPr>
          <w:p w14:paraId="6EBC7FF2" w14:textId="77777777" w:rsidR="009C7506" w:rsidRDefault="008B3AB3">
            <w:pPr>
              <w:spacing w:after="0" w:line="259" w:lineRule="auto"/>
              <w:ind w:left="0" w:right="38" w:firstLine="0"/>
              <w:jc w:val="center"/>
            </w:pPr>
            <w:r>
              <w:t xml:space="preserve">Y6 </w:t>
            </w:r>
          </w:p>
        </w:tc>
        <w:tc>
          <w:tcPr>
            <w:tcW w:w="2401" w:type="dxa"/>
            <w:tcBorders>
              <w:top w:val="single" w:sz="4" w:space="0" w:color="000000"/>
              <w:left w:val="single" w:sz="4" w:space="0" w:color="000000"/>
              <w:bottom w:val="single" w:sz="4" w:space="0" w:color="000000"/>
              <w:right w:val="single" w:sz="4" w:space="0" w:color="000000"/>
            </w:tcBorders>
            <w:vAlign w:val="center"/>
          </w:tcPr>
          <w:p w14:paraId="508558CE" w14:textId="77777777" w:rsidR="009C7506" w:rsidRDefault="008B3AB3">
            <w:pPr>
              <w:spacing w:after="0" w:line="259" w:lineRule="auto"/>
              <w:ind w:left="0" w:right="55" w:firstLine="0"/>
              <w:jc w:val="center"/>
            </w:pPr>
            <w:r>
              <w:t xml:space="preserve">Operational factors </w:t>
            </w:r>
          </w:p>
        </w:tc>
        <w:tc>
          <w:tcPr>
            <w:tcW w:w="876" w:type="dxa"/>
            <w:tcBorders>
              <w:top w:val="single" w:sz="4" w:space="0" w:color="000000"/>
              <w:left w:val="single" w:sz="4" w:space="0" w:color="000000"/>
              <w:bottom w:val="single" w:sz="4" w:space="0" w:color="000000"/>
              <w:right w:val="single" w:sz="4" w:space="0" w:color="000000"/>
            </w:tcBorders>
            <w:vAlign w:val="center"/>
          </w:tcPr>
          <w:p w14:paraId="26ACB446" w14:textId="77777777" w:rsidR="009C7506" w:rsidRDefault="008B3AB3">
            <w:pPr>
              <w:spacing w:after="0" w:line="259" w:lineRule="auto"/>
              <w:ind w:left="0" w:right="56" w:firstLine="0"/>
              <w:jc w:val="center"/>
            </w:pPr>
            <w:r>
              <w:t xml:space="preserve">431 </w:t>
            </w:r>
          </w:p>
        </w:tc>
        <w:tc>
          <w:tcPr>
            <w:tcW w:w="1046" w:type="dxa"/>
            <w:tcBorders>
              <w:top w:val="single" w:sz="4" w:space="0" w:color="000000"/>
              <w:left w:val="single" w:sz="4" w:space="0" w:color="000000"/>
              <w:bottom w:val="single" w:sz="4" w:space="0" w:color="000000"/>
              <w:right w:val="single" w:sz="4" w:space="0" w:color="000000"/>
            </w:tcBorders>
            <w:vAlign w:val="center"/>
          </w:tcPr>
          <w:p w14:paraId="4A8CA850" w14:textId="77777777" w:rsidR="009C7506" w:rsidRDefault="008B3AB3">
            <w:pPr>
              <w:spacing w:after="0" w:line="259" w:lineRule="auto"/>
              <w:ind w:left="5" w:right="0" w:firstLine="0"/>
              <w:jc w:val="left"/>
            </w:pPr>
            <w:r>
              <w:t xml:space="preserve">-0.01425 </w:t>
            </w:r>
          </w:p>
        </w:tc>
        <w:tc>
          <w:tcPr>
            <w:tcW w:w="1366" w:type="dxa"/>
            <w:tcBorders>
              <w:top w:val="single" w:sz="4" w:space="0" w:color="000000"/>
              <w:left w:val="single" w:sz="4" w:space="0" w:color="000000"/>
              <w:bottom w:val="single" w:sz="4" w:space="0" w:color="000000"/>
              <w:right w:val="single" w:sz="4" w:space="0" w:color="000000"/>
            </w:tcBorders>
            <w:vAlign w:val="center"/>
          </w:tcPr>
          <w:p w14:paraId="1121D876" w14:textId="77777777" w:rsidR="009C7506" w:rsidRDefault="008B3AB3">
            <w:pPr>
              <w:spacing w:after="0" w:line="259" w:lineRule="auto"/>
              <w:ind w:left="0" w:right="51" w:firstLine="0"/>
              <w:jc w:val="center"/>
            </w:pPr>
            <w:r>
              <w:t xml:space="preserve">0.11585 </w:t>
            </w:r>
          </w:p>
        </w:tc>
        <w:tc>
          <w:tcPr>
            <w:tcW w:w="821" w:type="dxa"/>
            <w:tcBorders>
              <w:top w:val="single" w:sz="4" w:space="0" w:color="000000"/>
              <w:left w:val="single" w:sz="4" w:space="0" w:color="000000"/>
              <w:bottom w:val="single" w:sz="4" w:space="0" w:color="000000"/>
              <w:right w:val="single" w:sz="4" w:space="0" w:color="000000"/>
            </w:tcBorders>
            <w:vAlign w:val="center"/>
          </w:tcPr>
          <w:p w14:paraId="5A79E0B6" w14:textId="77777777" w:rsidR="009C7506" w:rsidRDefault="008B3AB3">
            <w:pPr>
              <w:spacing w:after="0" w:line="259" w:lineRule="auto"/>
              <w:ind w:left="0" w:right="0" w:firstLine="0"/>
              <w:jc w:val="left"/>
            </w:pPr>
            <w:r>
              <w:t xml:space="preserve">-0.426 </w:t>
            </w:r>
          </w:p>
        </w:tc>
        <w:tc>
          <w:tcPr>
            <w:tcW w:w="931" w:type="dxa"/>
            <w:tcBorders>
              <w:top w:val="single" w:sz="4" w:space="0" w:color="000000"/>
              <w:left w:val="single" w:sz="4" w:space="0" w:color="000000"/>
              <w:bottom w:val="single" w:sz="4" w:space="0" w:color="000000"/>
              <w:right w:val="nil"/>
            </w:tcBorders>
            <w:vAlign w:val="center"/>
          </w:tcPr>
          <w:p w14:paraId="10AE88A7" w14:textId="77777777" w:rsidR="009C7506" w:rsidRDefault="008B3AB3">
            <w:pPr>
              <w:spacing w:after="0" w:line="259" w:lineRule="auto"/>
              <w:ind w:left="0" w:right="50" w:firstLine="0"/>
              <w:jc w:val="center"/>
            </w:pPr>
            <w:r>
              <w:t xml:space="preserve">0.214 </w:t>
            </w:r>
          </w:p>
        </w:tc>
      </w:tr>
    </w:tbl>
    <w:p w14:paraId="7C01E08D" w14:textId="77777777" w:rsidR="009C7506" w:rsidRDefault="008B3AB3">
      <w:pPr>
        <w:spacing w:after="0" w:line="259" w:lineRule="auto"/>
        <w:ind w:left="394" w:right="0"/>
        <w:jc w:val="center"/>
      </w:pPr>
      <w:r>
        <w:t xml:space="preserve">Panel C </w:t>
      </w:r>
    </w:p>
    <w:tbl>
      <w:tblPr>
        <w:tblStyle w:val="TableGrid"/>
        <w:tblW w:w="8538" w:type="dxa"/>
        <w:tblInd w:w="-122" w:type="dxa"/>
        <w:tblCellMar>
          <w:top w:w="163" w:type="dxa"/>
          <w:left w:w="106" w:type="dxa"/>
          <w:bottom w:w="0" w:type="dxa"/>
          <w:right w:w="7" w:type="dxa"/>
        </w:tblCellMar>
        <w:tblLook w:val="04A0" w:firstRow="1" w:lastRow="0" w:firstColumn="1" w:lastColumn="0" w:noHBand="0" w:noVBand="1"/>
      </w:tblPr>
      <w:tblGrid>
        <w:gridCol w:w="1030"/>
        <w:gridCol w:w="2689"/>
        <w:gridCol w:w="876"/>
        <w:gridCol w:w="1046"/>
        <w:gridCol w:w="1366"/>
        <w:gridCol w:w="710"/>
        <w:gridCol w:w="821"/>
      </w:tblGrid>
      <w:tr w:rsidR="009C7506" w14:paraId="489EF446" w14:textId="77777777">
        <w:trPr>
          <w:trHeight w:val="946"/>
        </w:trPr>
        <w:tc>
          <w:tcPr>
            <w:tcW w:w="1030" w:type="dxa"/>
            <w:tcBorders>
              <w:top w:val="single" w:sz="4" w:space="0" w:color="000000"/>
              <w:left w:val="nil"/>
              <w:bottom w:val="single" w:sz="4" w:space="0" w:color="000000"/>
              <w:right w:val="single" w:sz="4" w:space="0" w:color="000000"/>
            </w:tcBorders>
            <w:vAlign w:val="center"/>
          </w:tcPr>
          <w:p w14:paraId="6F107AE7" w14:textId="77777777" w:rsidR="009C7506" w:rsidRDefault="008B3AB3">
            <w:pPr>
              <w:spacing w:after="0" w:line="259" w:lineRule="auto"/>
              <w:ind w:left="0" w:right="0" w:firstLine="0"/>
              <w:jc w:val="center"/>
            </w:pPr>
            <w:r>
              <w:t xml:space="preserve">Control variable </w:t>
            </w:r>
          </w:p>
        </w:tc>
        <w:tc>
          <w:tcPr>
            <w:tcW w:w="2689" w:type="dxa"/>
            <w:tcBorders>
              <w:top w:val="single" w:sz="4" w:space="0" w:color="000000"/>
              <w:left w:val="single" w:sz="4" w:space="0" w:color="000000"/>
              <w:bottom w:val="single" w:sz="4" w:space="0" w:color="000000"/>
              <w:right w:val="single" w:sz="4" w:space="0" w:color="000000"/>
            </w:tcBorders>
            <w:vAlign w:val="center"/>
          </w:tcPr>
          <w:p w14:paraId="6647EF85" w14:textId="77777777" w:rsidR="009C7506" w:rsidRDefault="008B3AB3">
            <w:pPr>
              <w:spacing w:after="0" w:line="259" w:lineRule="auto"/>
              <w:ind w:left="0" w:right="98" w:firstLine="0"/>
              <w:jc w:val="center"/>
            </w:pPr>
            <w:r>
              <w:t xml:space="preserve">Definition </w:t>
            </w:r>
          </w:p>
        </w:tc>
        <w:tc>
          <w:tcPr>
            <w:tcW w:w="876" w:type="dxa"/>
            <w:tcBorders>
              <w:top w:val="single" w:sz="4" w:space="0" w:color="000000"/>
              <w:left w:val="single" w:sz="4" w:space="0" w:color="000000"/>
              <w:bottom w:val="single" w:sz="4" w:space="0" w:color="000000"/>
              <w:right w:val="single" w:sz="4" w:space="0" w:color="000000"/>
            </w:tcBorders>
            <w:vAlign w:val="center"/>
          </w:tcPr>
          <w:p w14:paraId="70BCA80A" w14:textId="77777777" w:rsidR="009C7506" w:rsidRDefault="008B3AB3">
            <w:pPr>
              <w:spacing w:after="0" w:line="259" w:lineRule="auto"/>
              <w:ind w:left="0" w:right="0" w:firstLine="0"/>
              <w:jc w:val="left"/>
            </w:pPr>
            <w:r>
              <w:t xml:space="preserve">Sample volume </w:t>
            </w:r>
          </w:p>
        </w:tc>
        <w:tc>
          <w:tcPr>
            <w:tcW w:w="1046" w:type="dxa"/>
            <w:tcBorders>
              <w:top w:val="single" w:sz="4" w:space="0" w:color="000000"/>
              <w:left w:val="single" w:sz="4" w:space="0" w:color="000000"/>
              <w:bottom w:val="single" w:sz="4" w:space="0" w:color="000000"/>
              <w:right w:val="single" w:sz="4" w:space="0" w:color="000000"/>
            </w:tcBorders>
          </w:tcPr>
          <w:p w14:paraId="108788F6" w14:textId="77777777" w:rsidR="009C7506" w:rsidRDefault="008B3AB3">
            <w:pPr>
              <w:spacing w:after="0" w:line="259" w:lineRule="auto"/>
              <w:ind w:left="0" w:right="0" w:firstLine="0"/>
            </w:pPr>
            <w:r>
              <w:t xml:space="preserve">Mean(%) </w:t>
            </w:r>
          </w:p>
        </w:tc>
        <w:tc>
          <w:tcPr>
            <w:tcW w:w="1366" w:type="dxa"/>
            <w:tcBorders>
              <w:top w:val="single" w:sz="4" w:space="0" w:color="000000"/>
              <w:left w:val="single" w:sz="4" w:space="0" w:color="000000"/>
              <w:bottom w:val="single" w:sz="4" w:space="0" w:color="000000"/>
              <w:right w:val="single" w:sz="4" w:space="0" w:color="000000"/>
            </w:tcBorders>
            <w:vAlign w:val="center"/>
          </w:tcPr>
          <w:p w14:paraId="3A9E0CA0" w14:textId="77777777" w:rsidR="009C7506" w:rsidRDefault="008B3AB3">
            <w:pPr>
              <w:spacing w:after="0" w:line="259" w:lineRule="auto"/>
              <w:ind w:left="0" w:right="0" w:firstLine="0"/>
              <w:jc w:val="center"/>
            </w:pPr>
            <w:r>
              <w:t xml:space="preserve">The standard deviation(%) </w:t>
            </w:r>
          </w:p>
        </w:tc>
        <w:tc>
          <w:tcPr>
            <w:tcW w:w="710" w:type="dxa"/>
            <w:tcBorders>
              <w:top w:val="single" w:sz="4" w:space="0" w:color="000000"/>
              <w:left w:val="single" w:sz="4" w:space="0" w:color="000000"/>
              <w:bottom w:val="single" w:sz="4" w:space="0" w:color="000000"/>
              <w:right w:val="single" w:sz="4" w:space="0" w:color="000000"/>
            </w:tcBorders>
            <w:vAlign w:val="center"/>
          </w:tcPr>
          <w:p w14:paraId="5C5725FF" w14:textId="77777777" w:rsidR="009C7506" w:rsidRDefault="008B3AB3">
            <w:pPr>
              <w:spacing w:after="192" w:line="259" w:lineRule="auto"/>
              <w:ind w:left="65" w:right="0" w:firstLine="0"/>
              <w:jc w:val="left"/>
            </w:pPr>
            <w:r>
              <w:t xml:space="preserve">Min  </w:t>
            </w:r>
          </w:p>
          <w:p w14:paraId="1659999B" w14:textId="77777777" w:rsidR="009C7506" w:rsidRDefault="008B3AB3">
            <w:pPr>
              <w:spacing w:after="0" w:line="259" w:lineRule="auto"/>
              <w:ind w:left="84" w:right="0" w:firstLine="0"/>
              <w:jc w:val="left"/>
            </w:pPr>
            <w:r>
              <w:t xml:space="preserve">(%) </w:t>
            </w:r>
          </w:p>
        </w:tc>
        <w:tc>
          <w:tcPr>
            <w:tcW w:w="821" w:type="dxa"/>
            <w:tcBorders>
              <w:top w:val="single" w:sz="4" w:space="0" w:color="000000"/>
              <w:left w:val="single" w:sz="4" w:space="0" w:color="000000"/>
              <w:bottom w:val="single" w:sz="4" w:space="0" w:color="000000"/>
              <w:right w:val="nil"/>
            </w:tcBorders>
            <w:vAlign w:val="center"/>
          </w:tcPr>
          <w:p w14:paraId="06668D5A" w14:textId="77777777" w:rsidR="009C7506" w:rsidRDefault="008B3AB3">
            <w:pPr>
              <w:spacing w:after="192" w:line="259" w:lineRule="auto"/>
              <w:ind w:left="0" w:right="202" w:firstLine="0"/>
              <w:jc w:val="right"/>
            </w:pPr>
            <w:r>
              <w:t xml:space="preserve">Max  </w:t>
            </w:r>
          </w:p>
          <w:p w14:paraId="27497875" w14:textId="77777777" w:rsidR="009C7506" w:rsidRDefault="008B3AB3">
            <w:pPr>
              <w:spacing w:after="0" w:line="259" w:lineRule="auto"/>
              <w:ind w:left="0" w:right="99" w:firstLine="0"/>
              <w:jc w:val="center"/>
            </w:pPr>
            <w:r>
              <w:t xml:space="preserve">(%) </w:t>
            </w:r>
          </w:p>
        </w:tc>
      </w:tr>
      <w:tr w:rsidR="009C7506" w14:paraId="26BD09E8" w14:textId="77777777">
        <w:trPr>
          <w:trHeight w:val="478"/>
        </w:trPr>
        <w:tc>
          <w:tcPr>
            <w:tcW w:w="1030" w:type="dxa"/>
            <w:tcBorders>
              <w:top w:val="single" w:sz="4" w:space="0" w:color="000000"/>
              <w:left w:val="nil"/>
              <w:bottom w:val="single" w:sz="4" w:space="0" w:color="000000"/>
              <w:right w:val="single" w:sz="4" w:space="0" w:color="000000"/>
            </w:tcBorders>
            <w:vAlign w:val="center"/>
          </w:tcPr>
          <w:p w14:paraId="150DFE1E" w14:textId="77777777" w:rsidR="009C7506" w:rsidRDefault="008B3AB3">
            <w:pPr>
              <w:spacing w:after="0" w:line="259" w:lineRule="auto"/>
              <w:ind w:left="0" w:right="81" w:firstLine="0"/>
              <w:jc w:val="center"/>
            </w:pPr>
            <w:r>
              <w:rPr>
                <w:i/>
              </w:rPr>
              <w:t xml:space="preserve">Term </w:t>
            </w:r>
          </w:p>
        </w:tc>
        <w:tc>
          <w:tcPr>
            <w:tcW w:w="2689" w:type="dxa"/>
            <w:tcBorders>
              <w:top w:val="single" w:sz="4" w:space="0" w:color="000000"/>
              <w:left w:val="single" w:sz="4" w:space="0" w:color="000000"/>
              <w:bottom w:val="single" w:sz="4" w:space="0" w:color="000000"/>
              <w:right w:val="single" w:sz="4" w:space="0" w:color="000000"/>
            </w:tcBorders>
            <w:vAlign w:val="center"/>
          </w:tcPr>
          <w:p w14:paraId="54DA92D3" w14:textId="77777777" w:rsidR="009C7506" w:rsidRDefault="008B3AB3">
            <w:pPr>
              <w:spacing w:after="0" w:line="259" w:lineRule="auto"/>
              <w:ind w:left="0" w:right="98" w:firstLine="0"/>
              <w:jc w:val="center"/>
            </w:pPr>
            <w:r>
              <w:t xml:space="preserve">Term (year) </w:t>
            </w:r>
          </w:p>
        </w:tc>
        <w:tc>
          <w:tcPr>
            <w:tcW w:w="876" w:type="dxa"/>
            <w:tcBorders>
              <w:top w:val="single" w:sz="4" w:space="0" w:color="000000"/>
              <w:left w:val="single" w:sz="4" w:space="0" w:color="000000"/>
              <w:bottom w:val="single" w:sz="4" w:space="0" w:color="000000"/>
              <w:right w:val="single" w:sz="4" w:space="0" w:color="000000"/>
            </w:tcBorders>
            <w:vAlign w:val="center"/>
          </w:tcPr>
          <w:p w14:paraId="603F7EE5" w14:textId="77777777" w:rsidR="009C7506" w:rsidRDefault="008B3AB3">
            <w:pPr>
              <w:spacing w:after="0" w:line="259" w:lineRule="auto"/>
              <w:ind w:left="0" w:right="214" w:firstLine="0"/>
              <w:jc w:val="right"/>
            </w:pPr>
            <w:r>
              <w:t xml:space="preserve">470  </w:t>
            </w:r>
          </w:p>
        </w:tc>
        <w:tc>
          <w:tcPr>
            <w:tcW w:w="1046" w:type="dxa"/>
            <w:tcBorders>
              <w:top w:val="single" w:sz="4" w:space="0" w:color="000000"/>
              <w:left w:val="single" w:sz="4" w:space="0" w:color="000000"/>
              <w:bottom w:val="single" w:sz="4" w:space="0" w:color="000000"/>
              <w:right w:val="single" w:sz="4" w:space="0" w:color="000000"/>
            </w:tcBorders>
            <w:vAlign w:val="center"/>
          </w:tcPr>
          <w:p w14:paraId="7EF3F3A6" w14:textId="77777777" w:rsidR="009C7506" w:rsidRDefault="008B3AB3">
            <w:pPr>
              <w:spacing w:after="0" w:line="259" w:lineRule="auto"/>
              <w:ind w:left="0" w:right="103" w:firstLine="0"/>
              <w:jc w:val="right"/>
            </w:pPr>
            <w:r>
              <w:t xml:space="preserve">5.231 </w:t>
            </w:r>
          </w:p>
        </w:tc>
        <w:tc>
          <w:tcPr>
            <w:tcW w:w="1366" w:type="dxa"/>
            <w:tcBorders>
              <w:top w:val="single" w:sz="4" w:space="0" w:color="000000"/>
              <w:left w:val="single" w:sz="4" w:space="0" w:color="000000"/>
              <w:bottom w:val="single" w:sz="4" w:space="0" w:color="000000"/>
              <w:right w:val="single" w:sz="4" w:space="0" w:color="000000"/>
            </w:tcBorders>
            <w:vAlign w:val="center"/>
          </w:tcPr>
          <w:p w14:paraId="6FD72D0D" w14:textId="77777777" w:rsidR="009C7506" w:rsidRDefault="008B3AB3">
            <w:pPr>
              <w:spacing w:after="0" w:line="259" w:lineRule="auto"/>
              <w:ind w:left="0" w:right="101" w:firstLine="0"/>
              <w:jc w:val="right"/>
            </w:pPr>
            <w:r>
              <w:t xml:space="preserve">1.521 </w:t>
            </w:r>
          </w:p>
        </w:tc>
        <w:tc>
          <w:tcPr>
            <w:tcW w:w="710" w:type="dxa"/>
            <w:tcBorders>
              <w:top w:val="single" w:sz="4" w:space="0" w:color="000000"/>
              <w:left w:val="single" w:sz="4" w:space="0" w:color="000000"/>
              <w:bottom w:val="single" w:sz="4" w:space="0" w:color="000000"/>
              <w:right w:val="single" w:sz="4" w:space="0" w:color="000000"/>
            </w:tcBorders>
            <w:vAlign w:val="center"/>
          </w:tcPr>
          <w:p w14:paraId="2CE82E68" w14:textId="77777777" w:rsidR="009C7506" w:rsidRDefault="008B3AB3">
            <w:pPr>
              <w:spacing w:after="0" w:line="259" w:lineRule="auto"/>
              <w:ind w:left="2" w:right="0" w:firstLine="0"/>
              <w:jc w:val="left"/>
            </w:pPr>
            <w:r>
              <w:t xml:space="preserve">1.500 </w:t>
            </w:r>
          </w:p>
        </w:tc>
        <w:tc>
          <w:tcPr>
            <w:tcW w:w="821" w:type="dxa"/>
            <w:tcBorders>
              <w:top w:val="single" w:sz="4" w:space="0" w:color="000000"/>
              <w:left w:val="single" w:sz="4" w:space="0" w:color="000000"/>
              <w:bottom w:val="single" w:sz="4" w:space="0" w:color="000000"/>
              <w:right w:val="nil"/>
            </w:tcBorders>
            <w:vAlign w:val="center"/>
          </w:tcPr>
          <w:p w14:paraId="624907CC" w14:textId="77777777" w:rsidR="009C7506" w:rsidRDefault="008B3AB3">
            <w:pPr>
              <w:spacing w:after="0" w:line="259" w:lineRule="auto"/>
              <w:ind w:left="2" w:right="0" w:firstLine="0"/>
              <w:jc w:val="left"/>
            </w:pPr>
            <w:r>
              <w:t xml:space="preserve">10.000 </w:t>
            </w:r>
          </w:p>
        </w:tc>
      </w:tr>
      <w:tr w:rsidR="009C7506" w14:paraId="04CF9FFE" w14:textId="77777777">
        <w:trPr>
          <w:trHeight w:val="910"/>
        </w:trPr>
        <w:tc>
          <w:tcPr>
            <w:tcW w:w="1030" w:type="dxa"/>
            <w:tcBorders>
              <w:top w:val="single" w:sz="4" w:space="0" w:color="000000"/>
              <w:left w:val="nil"/>
              <w:bottom w:val="single" w:sz="4" w:space="0" w:color="000000"/>
              <w:right w:val="single" w:sz="4" w:space="0" w:color="000000"/>
            </w:tcBorders>
            <w:vAlign w:val="center"/>
          </w:tcPr>
          <w:p w14:paraId="3D31D93B" w14:textId="77777777" w:rsidR="009C7506" w:rsidRDefault="008B3AB3">
            <w:pPr>
              <w:spacing w:after="0" w:line="259" w:lineRule="auto"/>
              <w:ind w:left="17" w:right="0" w:firstLine="0"/>
              <w:jc w:val="left"/>
            </w:pPr>
            <w:r>
              <w:rPr>
                <w:i/>
              </w:rPr>
              <w:t xml:space="preserve">TotalSize </w:t>
            </w:r>
          </w:p>
        </w:tc>
        <w:tc>
          <w:tcPr>
            <w:tcW w:w="2689" w:type="dxa"/>
            <w:tcBorders>
              <w:top w:val="single" w:sz="4" w:space="0" w:color="000000"/>
              <w:left w:val="single" w:sz="4" w:space="0" w:color="000000"/>
              <w:bottom w:val="single" w:sz="4" w:space="0" w:color="000000"/>
              <w:right w:val="single" w:sz="4" w:space="0" w:color="000000"/>
            </w:tcBorders>
            <w:vAlign w:val="center"/>
          </w:tcPr>
          <w:p w14:paraId="3C677F01" w14:textId="77777777" w:rsidR="009C7506" w:rsidRDefault="008B3AB3">
            <w:pPr>
              <w:spacing w:after="0" w:line="259" w:lineRule="auto"/>
              <w:ind w:left="0" w:right="100" w:firstLine="0"/>
              <w:jc w:val="center"/>
            </w:pPr>
            <w:r>
              <w:t>Issue size (</w:t>
            </w:r>
            <w:r>
              <w:rPr>
                <w:rFonts w:ascii="SimSun" w:eastAsia="SimSun" w:hAnsi="SimSun" w:cs="SimSun"/>
              </w:rPr>
              <w:t>￥</w:t>
            </w:r>
            <w:r>
              <w:t xml:space="preserve">100 million) </w:t>
            </w:r>
          </w:p>
        </w:tc>
        <w:tc>
          <w:tcPr>
            <w:tcW w:w="876" w:type="dxa"/>
            <w:tcBorders>
              <w:top w:val="single" w:sz="4" w:space="0" w:color="000000"/>
              <w:left w:val="single" w:sz="4" w:space="0" w:color="000000"/>
              <w:bottom w:val="single" w:sz="4" w:space="0" w:color="000000"/>
              <w:right w:val="single" w:sz="4" w:space="0" w:color="000000"/>
            </w:tcBorders>
            <w:vAlign w:val="center"/>
          </w:tcPr>
          <w:p w14:paraId="698029A5" w14:textId="77777777" w:rsidR="009C7506" w:rsidRDefault="008B3AB3">
            <w:pPr>
              <w:spacing w:after="0" w:line="259" w:lineRule="auto"/>
              <w:ind w:left="0" w:right="106" w:firstLine="0"/>
              <w:jc w:val="center"/>
            </w:pPr>
            <w:r>
              <w:t xml:space="preserve">470 </w:t>
            </w:r>
          </w:p>
        </w:tc>
        <w:tc>
          <w:tcPr>
            <w:tcW w:w="1046" w:type="dxa"/>
            <w:tcBorders>
              <w:top w:val="single" w:sz="4" w:space="0" w:color="000000"/>
              <w:left w:val="single" w:sz="4" w:space="0" w:color="000000"/>
              <w:bottom w:val="single" w:sz="4" w:space="0" w:color="000000"/>
              <w:right w:val="single" w:sz="4" w:space="0" w:color="000000"/>
            </w:tcBorders>
            <w:vAlign w:val="center"/>
          </w:tcPr>
          <w:p w14:paraId="74CA8870" w14:textId="77777777" w:rsidR="009C7506" w:rsidRDefault="008B3AB3">
            <w:pPr>
              <w:spacing w:after="0" w:line="259" w:lineRule="auto"/>
              <w:ind w:left="0" w:right="101" w:firstLine="0"/>
              <w:jc w:val="center"/>
            </w:pPr>
            <w:r>
              <w:t xml:space="preserve">12.791 </w:t>
            </w:r>
          </w:p>
        </w:tc>
        <w:tc>
          <w:tcPr>
            <w:tcW w:w="1366" w:type="dxa"/>
            <w:tcBorders>
              <w:top w:val="single" w:sz="4" w:space="0" w:color="000000"/>
              <w:left w:val="single" w:sz="4" w:space="0" w:color="000000"/>
              <w:bottom w:val="single" w:sz="4" w:space="0" w:color="000000"/>
              <w:right w:val="single" w:sz="4" w:space="0" w:color="000000"/>
            </w:tcBorders>
            <w:vAlign w:val="center"/>
          </w:tcPr>
          <w:p w14:paraId="18E1274D" w14:textId="77777777" w:rsidR="009C7506" w:rsidRDefault="008B3AB3">
            <w:pPr>
              <w:spacing w:after="0" w:line="259" w:lineRule="auto"/>
              <w:ind w:left="0" w:right="97" w:firstLine="0"/>
              <w:jc w:val="center"/>
            </w:pPr>
            <w:r>
              <w:t xml:space="preserve">11.037 </w:t>
            </w:r>
          </w:p>
        </w:tc>
        <w:tc>
          <w:tcPr>
            <w:tcW w:w="710" w:type="dxa"/>
            <w:tcBorders>
              <w:top w:val="single" w:sz="4" w:space="0" w:color="000000"/>
              <w:left w:val="single" w:sz="4" w:space="0" w:color="000000"/>
              <w:bottom w:val="single" w:sz="4" w:space="0" w:color="000000"/>
              <w:right w:val="single" w:sz="4" w:space="0" w:color="000000"/>
            </w:tcBorders>
            <w:vAlign w:val="center"/>
          </w:tcPr>
          <w:p w14:paraId="10AD7D22" w14:textId="77777777" w:rsidR="009C7506" w:rsidRDefault="008B3AB3">
            <w:pPr>
              <w:spacing w:after="0" w:line="259" w:lineRule="auto"/>
              <w:ind w:left="2" w:right="0" w:firstLine="0"/>
              <w:jc w:val="left"/>
            </w:pPr>
            <w:r>
              <w:t xml:space="preserve">0.500 </w:t>
            </w:r>
          </w:p>
        </w:tc>
        <w:tc>
          <w:tcPr>
            <w:tcW w:w="821" w:type="dxa"/>
            <w:tcBorders>
              <w:top w:val="single" w:sz="4" w:space="0" w:color="000000"/>
              <w:left w:val="single" w:sz="4" w:space="0" w:color="000000"/>
              <w:bottom w:val="single" w:sz="4" w:space="0" w:color="000000"/>
              <w:right w:val="nil"/>
            </w:tcBorders>
            <w:vAlign w:val="center"/>
          </w:tcPr>
          <w:p w14:paraId="6AA631C1" w14:textId="77777777" w:rsidR="009C7506" w:rsidRDefault="008B3AB3">
            <w:pPr>
              <w:spacing w:after="0" w:line="259" w:lineRule="auto"/>
              <w:ind w:left="2" w:right="0" w:firstLine="0"/>
              <w:jc w:val="left"/>
            </w:pPr>
            <w:r>
              <w:t xml:space="preserve">72.600 </w:t>
            </w:r>
          </w:p>
        </w:tc>
      </w:tr>
      <w:tr w:rsidR="009C7506" w14:paraId="019AF08B" w14:textId="77777777">
        <w:trPr>
          <w:trHeight w:val="1104"/>
        </w:trPr>
        <w:tc>
          <w:tcPr>
            <w:tcW w:w="1030" w:type="dxa"/>
            <w:tcBorders>
              <w:top w:val="single" w:sz="4" w:space="0" w:color="000000"/>
              <w:left w:val="nil"/>
              <w:bottom w:val="single" w:sz="4" w:space="0" w:color="000000"/>
              <w:right w:val="single" w:sz="4" w:space="0" w:color="000000"/>
            </w:tcBorders>
            <w:vAlign w:val="center"/>
          </w:tcPr>
          <w:p w14:paraId="2C3995D0" w14:textId="77777777" w:rsidR="009C7506" w:rsidRDefault="008B3AB3">
            <w:pPr>
              <w:spacing w:after="0" w:line="259" w:lineRule="auto"/>
              <w:ind w:left="0" w:right="85" w:firstLine="0"/>
              <w:jc w:val="center"/>
            </w:pPr>
            <w:r>
              <w:rPr>
                <w:i/>
              </w:rPr>
              <w:t xml:space="preserve">Size </w:t>
            </w:r>
          </w:p>
        </w:tc>
        <w:tc>
          <w:tcPr>
            <w:tcW w:w="2689" w:type="dxa"/>
            <w:tcBorders>
              <w:top w:val="single" w:sz="4" w:space="0" w:color="000000"/>
              <w:left w:val="single" w:sz="4" w:space="0" w:color="000000"/>
              <w:bottom w:val="single" w:sz="4" w:space="0" w:color="000000"/>
              <w:right w:val="single" w:sz="4" w:space="0" w:color="000000"/>
            </w:tcBorders>
            <w:vAlign w:val="center"/>
          </w:tcPr>
          <w:p w14:paraId="38350B6E" w14:textId="77777777" w:rsidR="009C7506" w:rsidRDefault="008B3AB3">
            <w:pPr>
              <w:spacing w:after="157" w:line="259" w:lineRule="auto"/>
              <w:ind w:left="43" w:right="0" w:firstLine="0"/>
              <w:jc w:val="left"/>
            </w:pPr>
            <w:r>
              <w:t>Total company size (</w:t>
            </w:r>
            <w:r>
              <w:rPr>
                <w:rFonts w:ascii="SimSun" w:eastAsia="SimSun" w:hAnsi="SimSun" w:cs="SimSun"/>
              </w:rPr>
              <w:t>￥</w:t>
            </w:r>
            <w:r>
              <w:t xml:space="preserve">100 </w:t>
            </w:r>
          </w:p>
          <w:p w14:paraId="66043DA5" w14:textId="77777777" w:rsidR="009C7506" w:rsidRDefault="008B3AB3">
            <w:pPr>
              <w:spacing w:after="0" w:line="259" w:lineRule="auto"/>
              <w:ind w:left="0" w:right="99" w:firstLine="0"/>
              <w:jc w:val="center"/>
            </w:pPr>
            <w:r>
              <w:t xml:space="preserve">million) </w:t>
            </w:r>
          </w:p>
        </w:tc>
        <w:tc>
          <w:tcPr>
            <w:tcW w:w="876" w:type="dxa"/>
            <w:tcBorders>
              <w:top w:val="single" w:sz="4" w:space="0" w:color="000000"/>
              <w:left w:val="single" w:sz="4" w:space="0" w:color="000000"/>
              <w:bottom w:val="single" w:sz="4" w:space="0" w:color="000000"/>
              <w:right w:val="single" w:sz="4" w:space="0" w:color="000000"/>
            </w:tcBorders>
            <w:vAlign w:val="center"/>
          </w:tcPr>
          <w:p w14:paraId="4BBDD61B" w14:textId="77777777" w:rsidR="009C7506" w:rsidRDefault="008B3AB3">
            <w:pPr>
              <w:spacing w:after="0" w:line="259" w:lineRule="auto"/>
              <w:ind w:left="0" w:right="106" w:firstLine="0"/>
              <w:jc w:val="center"/>
            </w:pPr>
            <w:r>
              <w:t xml:space="preserve">431 </w:t>
            </w:r>
          </w:p>
        </w:tc>
        <w:tc>
          <w:tcPr>
            <w:tcW w:w="1046" w:type="dxa"/>
            <w:tcBorders>
              <w:top w:val="single" w:sz="4" w:space="0" w:color="000000"/>
              <w:left w:val="single" w:sz="4" w:space="0" w:color="000000"/>
              <w:bottom w:val="single" w:sz="4" w:space="0" w:color="000000"/>
              <w:right w:val="single" w:sz="4" w:space="0" w:color="000000"/>
            </w:tcBorders>
            <w:vAlign w:val="center"/>
          </w:tcPr>
          <w:p w14:paraId="4CCBAA9E" w14:textId="77777777" w:rsidR="009C7506" w:rsidRDefault="008B3AB3">
            <w:pPr>
              <w:spacing w:after="0" w:line="259" w:lineRule="auto"/>
              <w:ind w:left="0" w:right="103" w:firstLine="0"/>
              <w:jc w:val="center"/>
            </w:pPr>
            <w:r>
              <w:t xml:space="preserve">291 </w:t>
            </w:r>
          </w:p>
        </w:tc>
        <w:tc>
          <w:tcPr>
            <w:tcW w:w="1366" w:type="dxa"/>
            <w:tcBorders>
              <w:top w:val="single" w:sz="4" w:space="0" w:color="000000"/>
              <w:left w:val="single" w:sz="4" w:space="0" w:color="000000"/>
              <w:bottom w:val="single" w:sz="4" w:space="0" w:color="000000"/>
              <w:right w:val="single" w:sz="4" w:space="0" w:color="000000"/>
            </w:tcBorders>
            <w:vAlign w:val="center"/>
          </w:tcPr>
          <w:p w14:paraId="3C5D3CF3" w14:textId="77777777" w:rsidR="009C7506" w:rsidRDefault="008B3AB3">
            <w:pPr>
              <w:spacing w:after="0" w:line="259" w:lineRule="auto"/>
              <w:ind w:left="0" w:right="101" w:firstLine="0"/>
              <w:jc w:val="center"/>
            </w:pPr>
            <w:r>
              <w:t xml:space="preserve">448 </w:t>
            </w:r>
          </w:p>
        </w:tc>
        <w:tc>
          <w:tcPr>
            <w:tcW w:w="710" w:type="dxa"/>
            <w:tcBorders>
              <w:top w:val="single" w:sz="4" w:space="0" w:color="000000"/>
              <w:left w:val="single" w:sz="4" w:space="0" w:color="000000"/>
              <w:bottom w:val="single" w:sz="4" w:space="0" w:color="000000"/>
              <w:right w:val="single" w:sz="4" w:space="0" w:color="000000"/>
            </w:tcBorders>
            <w:vAlign w:val="center"/>
          </w:tcPr>
          <w:p w14:paraId="5FF8100A" w14:textId="77777777" w:rsidR="009C7506" w:rsidRDefault="008B3AB3">
            <w:pPr>
              <w:spacing w:after="0" w:line="259" w:lineRule="auto"/>
              <w:ind w:left="0" w:right="98" w:firstLine="0"/>
              <w:jc w:val="center"/>
            </w:pPr>
            <w:r>
              <w:t xml:space="preserve">7 </w:t>
            </w:r>
          </w:p>
        </w:tc>
        <w:tc>
          <w:tcPr>
            <w:tcW w:w="821" w:type="dxa"/>
            <w:tcBorders>
              <w:top w:val="single" w:sz="4" w:space="0" w:color="000000"/>
              <w:left w:val="single" w:sz="4" w:space="0" w:color="000000"/>
              <w:bottom w:val="single" w:sz="4" w:space="0" w:color="000000"/>
              <w:right w:val="nil"/>
            </w:tcBorders>
            <w:vAlign w:val="center"/>
          </w:tcPr>
          <w:p w14:paraId="4A8C40B3" w14:textId="77777777" w:rsidR="009C7506" w:rsidRDefault="008B3AB3">
            <w:pPr>
              <w:spacing w:after="0" w:line="259" w:lineRule="auto"/>
              <w:ind w:left="84" w:right="0" w:firstLine="0"/>
              <w:jc w:val="left"/>
            </w:pPr>
            <w:r>
              <w:t xml:space="preserve">5710 </w:t>
            </w:r>
          </w:p>
        </w:tc>
      </w:tr>
    </w:tbl>
    <w:p w14:paraId="300AABFC" w14:textId="77777777" w:rsidR="009C7506" w:rsidRDefault="008B3AB3">
      <w:pPr>
        <w:ind w:left="21" w:right="45"/>
      </w:pPr>
      <w:r>
        <w:t xml:space="preserve">Data source: RESSET financial database. </w:t>
      </w:r>
    </w:p>
    <w:p w14:paraId="2474B1D3" w14:textId="77777777" w:rsidR="009C7506" w:rsidRDefault="008B3AB3">
      <w:pPr>
        <w:spacing w:after="36" w:line="259" w:lineRule="auto"/>
        <w:ind w:left="0" w:right="0" w:firstLine="0"/>
        <w:jc w:val="left"/>
      </w:pPr>
      <w:r>
        <w:t xml:space="preserve"> </w:t>
      </w:r>
    </w:p>
    <w:p w14:paraId="2BD6B160" w14:textId="77777777" w:rsidR="009C7506" w:rsidRDefault="008B3AB3">
      <w:pPr>
        <w:spacing w:after="36" w:line="259" w:lineRule="auto"/>
        <w:ind w:left="0" w:right="0" w:firstLine="0"/>
        <w:jc w:val="left"/>
      </w:pPr>
      <w:r>
        <w:t xml:space="preserve"> </w:t>
      </w:r>
    </w:p>
    <w:p w14:paraId="665F772B" w14:textId="77777777" w:rsidR="009C7506" w:rsidRDefault="008B3AB3">
      <w:pPr>
        <w:ind w:left="21" w:right="45"/>
      </w:pPr>
      <w:r>
        <w:t xml:space="preserve">Table 6 is a statistical analysis of the credit ratings. Only ten corporate bonds were issued in 2008 </w:t>
      </w:r>
      <w:r>
        <w:t>due to the financial crisis.  The corporate bond market had grown slowly before 2011. After the major improvement of the bond market in 2011, the number of issuance increased year by year and reached 104 in 2012. After 2014, with the frequent defaults, the</w:t>
      </w:r>
      <w:r>
        <w:t xml:space="preserve"> number of bonds fell back for two years. Due to the development of the corporate bond market and the promotion of favorable policies in 2015, the debt financing was widely adopted by listed companies at the time that the stock market was depressed. The re</w:t>
      </w:r>
      <w:r>
        <w:t>sults show that the ratings are concentrated between AA and AA + in the entire sample. The former accounts for 44.56% and the latter accounts for 30.49%. The AAA accounts for 22.17%. Almost all bond ratings are above AA, and only one bond is rated A+, no b</w:t>
      </w:r>
      <w:r>
        <w:t xml:space="preserve">onds are below A+. In the empirical regression, because the rating is an ordered variable, we set A+ to be equal to 1, AA- to be equal to 2, AA to be equal to 3, AA+ to be equal to 4 and AAA to be equal to 5. </w:t>
      </w:r>
    </w:p>
    <w:p w14:paraId="776B9328" w14:textId="77777777" w:rsidR="009C7506" w:rsidRDefault="008B3AB3">
      <w:pPr>
        <w:spacing w:after="41" w:line="259" w:lineRule="auto"/>
        <w:ind w:left="0" w:right="0" w:firstLine="0"/>
        <w:jc w:val="left"/>
      </w:pPr>
      <w:r>
        <w:t xml:space="preserve"> </w:t>
      </w:r>
    </w:p>
    <w:p w14:paraId="74F968A7" w14:textId="77777777" w:rsidR="009C7506" w:rsidRDefault="008B3AB3">
      <w:pPr>
        <w:pStyle w:val="Heading2"/>
        <w:spacing w:after="3"/>
        <w:ind w:right="59"/>
        <w:jc w:val="center"/>
      </w:pPr>
      <w:r>
        <w:t xml:space="preserve">Table 6 Distribution of bond credit ratings (2008-2015) </w:t>
      </w:r>
    </w:p>
    <w:tbl>
      <w:tblPr>
        <w:tblStyle w:val="TableGrid"/>
        <w:tblW w:w="8524" w:type="dxa"/>
        <w:tblInd w:w="-108" w:type="dxa"/>
        <w:tblCellMar>
          <w:top w:w="0" w:type="dxa"/>
          <w:left w:w="115" w:type="dxa"/>
          <w:bottom w:w="0" w:type="dxa"/>
          <w:right w:w="115" w:type="dxa"/>
        </w:tblCellMar>
        <w:tblLook w:val="04A0" w:firstRow="1" w:lastRow="0" w:firstColumn="1" w:lastColumn="0" w:noHBand="0" w:noVBand="1"/>
      </w:tblPr>
      <w:tblGrid>
        <w:gridCol w:w="1370"/>
        <w:gridCol w:w="1054"/>
        <w:gridCol w:w="1248"/>
        <w:gridCol w:w="1246"/>
        <w:gridCol w:w="1246"/>
        <w:gridCol w:w="1244"/>
        <w:gridCol w:w="1116"/>
      </w:tblGrid>
      <w:tr w:rsidR="009C7506" w14:paraId="59BDCBFA" w14:textId="77777777">
        <w:trPr>
          <w:trHeight w:val="478"/>
        </w:trPr>
        <w:tc>
          <w:tcPr>
            <w:tcW w:w="1370" w:type="dxa"/>
            <w:tcBorders>
              <w:top w:val="single" w:sz="4" w:space="0" w:color="000000"/>
              <w:left w:val="single" w:sz="4" w:space="0" w:color="000000"/>
              <w:bottom w:val="single" w:sz="4" w:space="0" w:color="000000"/>
              <w:right w:val="single" w:sz="4" w:space="0" w:color="000000"/>
            </w:tcBorders>
            <w:vAlign w:val="center"/>
          </w:tcPr>
          <w:p w14:paraId="1F30CA14" w14:textId="77777777" w:rsidR="009C7506" w:rsidRDefault="008B3AB3">
            <w:pPr>
              <w:spacing w:after="0" w:line="259" w:lineRule="auto"/>
              <w:ind w:left="0" w:right="4" w:firstLine="0"/>
              <w:jc w:val="center"/>
            </w:pPr>
            <w:r>
              <w:t xml:space="preserve">year </w:t>
            </w:r>
          </w:p>
        </w:tc>
        <w:tc>
          <w:tcPr>
            <w:tcW w:w="1054" w:type="dxa"/>
            <w:tcBorders>
              <w:top w:val="single" w:sz="4" w:space="0" w:color="000000"/>
              <w:left w:val="single" w:sz="4" w:space="0" w:color="000000"/>
              <w:bottom w:val="single" w:sz="4" w:space="0" w:color="000000"/>
              <w:right w:val="single" w:sz="4" w:space="0" w:color="000000"/>
            </w:tcBorders>
            <w:vAlign w:val="center"/>
          </w:tcPr>
          <w:p w14:paraId="2DC51B09" w14:textId="77777777" w:rsidR="009C7506" w:rsidRDefault="008B3AB3">
            <w:pPr>
              <w:spacing w:after="0" w:line="259" w:lineRule="auto"/>
              <w:ind w:left="0" w:right="3" w:firstLine="0"/>
              <w:jc w:val="center"/>
            </w:pPr>
            <w:r>
              <w:t xml:space="preserve">A+ </w:t>
            </w:r>
          </w:p>
        </w:tc>
        <w:tc>
          <w:tcPr>
            <w:tcW w:w="1248" w:type="dxa"/>
            <w:tcBorders>
              <w:top w:val="single" w:sz="4" w:space="0" w:color="000000"/>
              <w:left w:val="single" w:sz="4" w:space="0" w:color="000000"/>
              <w:bottom w:val="single" w:sz="4" w:space="0" w:color="000000"/>
              <w:right w:val="single" w:sz="4" w:space="0" w:color="000000"/>
            </w:tcBorders>
            <w:vAlign w:val="center"/>
          </w:tcPr>
          <w:p w14:paraId="7DAB03D4" w14:textId="77777777" w:rsidR="009C7506" w:rsidRDefault="008B3AB3">
            <w:pPr>
              <w:spacing w:after="0" w:line="259" w:lineRule="auto"/>
              <w:ind w:left="0" w:right="1" w:firstLine="0"/>
              <w:jc w:val="center"/>
            </w:pPr>
            <w:r>
              <w:t xml:space="preserve">AA- </w:t>
            </w:r>
          </w:p>
        </w:tc>
        <w:tc>
          <w:tcPr>
            <w:tcW w:w="1246" w:type="dxa"/>
            <w:tcBorders>
              <w:top w:val="single" w:sz="4" w:space="0" w:color="000000"/>
              <w:left w:val="single" w:sz="4" w:space="0" w:color="000000"/>
              <w:bottom w:val="single" w:sz="4" w:space="0" w:color="000000"/>
              <w:right w:val="single" w:sz="4" w:space="0" w:color="000000"/>
            </w:tcBorders>
            <w:vAlign w:val="center"/>
          </w:tcPr>
          <w:p w14:paraId="24BEDADF" w14:textId="77777777" w:rsidR="009C7506" w:rsidRDefault="008B3AB3">
            <w:pPr>
              <w:spacing w:after="0" w:line="259" w:lineRule="auto"/>
              <w:ind w:left="0" w:right="2" w:firstLine="0"/>
              <w:jc w:val="center"/>
            </w:pPr>
            <w:r>
              <w:t xml:space="preserve">AA </w:t>
            </w:r>
          </w:p>
        </w:tc>
        <w:tc>
          <w:tcPr>
            <w:tcW w:w="1246" w:type="dxa"/>
            <w:tcBorders>
              <w:top w:val="single" w:sz="4" w:space="0" w:color="000000"/>
              <w:left w:val="single" w:sz="4" w:space="0" w:color="000000"/>
              <w:bottom w:val="single" w:sz="4" w:space="0" w:color="000000"/>
              <w:right w:val="single" w:sz="4" w:space="0" w:color="000000"/>
            </w:tcBorders>
            <w:vAlign w:val="center"/>
          </w:tcPr>
          <w:p w14:paraId="48DF646B" w14:textId="77777777" w:rsidR="009C7506" w:rsidRDefault="008B3AB3">
            <w:pPr>
              <w:spacing w:after="0" w:line="259" w:lineRule="auto"/>
              <w:ind w:left="0" w:right="3" w:firstLine="0"/>
              <w:jc w:val="center"/>
            </w:pPr>
            <w:r>
              <w:t xml:space="preserve">AA+ </w:t>
            </w:r>
          </w:p>
        </w:tc>
        <w:tc>
          <w:tcPr>
            <w:tcW w:w="1244" w:type="dxa"/>
            <w:tcBorders>
              <w:top w:val="single" w:sz="4" w:space="0" w:color="000000"/>
              <w:left w:val="single" w:sz="4" w:space="0" w:color="000000"/>
              <w:bottom w:val="single" w:sz="4" w:space="0" w:color="000000"/>
              <w:right w:val="single" w:sz="4" w:space="0" w:color="000000"/>
            </w:tcBorders>
            <w:vAlign w:val="center"/>
          </w:tcPr>
          <w:p w14:paraId="3D1C3AAF" w14:textId="77777777" w:rsidR="009C7506" w:rsidRDefault="008B3AB3">
            <w:pPr>
              <w:spacing w:after="0" w:line="259" w:lineRule="auto"/>
              <w:ind w:left="0" w:right="9" w:firstLine="0"/>
              <w:jc w:val="center"/>
            </w:pPr>
            <w:r>
              <w:t xml:space="preserve">AAA </w:t>
            </w:r>
          </w:p>
        </w:tc>
        <w:tc>
          <w:tcPr>
            <w:tcW w:w="1116" w:type="dxa"/>
            <w:tcBorders>
              <w:top w:val="single" w:sz="4" w:space="0" w:color="000000"/>
              <w:left w:val="single" w:sz="4" w:space="0" w:color="000000"/>
              <w:bottom w:val="single" w:sz="4" w:space="0" w:color="000000"/>
              <w:right w:val="single" w:sz="4" w:space="0" w:color="000000"/>
            </w:tcBorders>
            <w:vAlign w:val="center"/>
          </w:tcPr>
          <w:p w14:paraId="7F040EEE" w14:textId="77777777" w:rsidR="009C7506" w:rsidRDefault="008B3AB3">
            <w:pPr>
              <w:spacing w:after="0" w:line="259" w:lineRule="auto"/>
              <w:ind w:left="1" w:right="0" w:firstLine="0"/>
              <w:jc w:val="center"/>
            </w:pPr>
            <w:r>
              <w:t xml:space="preserve">Total </w:t>
            </w:r>
          </w:p>
        </w:tc>
      </w:tr>
      <w:tr w:rsidR="009C7506" w14:paraId="05961C08" w14:textId="77777777">
        <w:trPr>
          <w:trHeight w:val="478"/>
        </w:trPr>
        <w:tc>
          <w:tcPr>
            <w:tcW w:w="1370" w:type="dxa"/>
            <w:tcBorders>
              <w:top w:val="single" w:sz="4" w:space="0" w:color="000000"/>
              <w:left w:val="single" w:sz="4" w:space="0" w:color="000000"/>
              <w:bottom w:val="single" w:sz="4" w:space="0" w:color="000000"/>
              <w:right w:val="single" w:sz="4" w:space="0" w:color="000000"/>
            </w:tcBorders>
            <w:vAlign w:val="center"/>
          </w:tcPr>
          <w:p w14:paraId="6147180D" w14:textId="77777777" w:rsidR="009C7506" w:rsidRDefault="008B3AB3">
            <w:pPr>
              <w:spacing w:after="0" w:line="259" w:lineRule="auto"/>
              <w:ind w:left="2" w:right="0" w:firstLine="0"/>
              <w:jc w:val="center"/>
            </w:pPr>
            <w:r>
              <w:t xml:space="preserve">2008 </w:t>
            </w:r>
          </w:p>
        </w:tc>
        <w:tc>
          <w:tcPr>
            <w:tcW w:w="1054" w:type="dxa"/>
            <w:tcBorders>
              <w:top w:val="single" w:sz="4" w:space="0" w:color="000000"/>
              <w:left w:val="single" w:sz="4" w:space="0" w:color="000000"/>
              <w:bottom w:val="single" w:sz="4" w:space="0" w:color="000000"/>
              <w:right w:val="single" w:sz="4" w:space="0" w:color="000000"/>
            </w:tcBorders>
            <w:vAlign w:val="center"/>
          </w:tcPr>
          <w:p w14:paraId="7F728994" w14:textId="77777777" w:rsidR="009C7506" w:rsidRDefault="008B3AB3">
            <w:pPr>
              <w:spacing w:after="0" w:line="259" w:lineRule="auto"/>
              <w:ind w:left="0" w:right="3" w:firstLine="0"/>
              <w:jc w:val="center"/>
            </w:pPr>
            <w:r>
              <w:t xml:space="preserve">0 </w:t>
            </w:r>
          </w:p>
        </w:tc>
        <w:tc>
          <w:tcPr>
            <w:tcW w:w="1248" w:type="dxa"/>
            <w:tcBorders>
              <w:top w:val="single" w:sz="4" w:space="0" w:color="000000"/>
              <w:left w:val="single" w:sz="4" w:space="0" w:color="000000"/>
              <w:bottom w:val="single" w:sz="4" w:space="0" w:color="000000"/>
              <w:right w:val="single" w:sz="4" w:space="0" w:color="000000"/>
            </w:tcBorders>
            <w:vAlign w:val="center"/>
          </w:tcPr>
          <w:p w14:paraId="6814F151" w14:textId="77777777" w:rsidR="009C7506" w:rsidRDefault="008B3AB3">
            <w:pPr>
              <w:spacing w:after="0" w:line="259" w:lineRule="auto"/>
              <w:ind w:left="0" w:right="0" w:firstLine="0"/>
              <w:jc w:val="center"/>
            </w:pPr>
            <w:r>
              <w:t xml:space="preserve">1 </w:t>
            </w:r>
          </w:p>
        </w:tc>
        <w:tc>
          <w:tcPr>
            <w:tcW w:w="1246" w:type="dxa"/>
            <w:tcBorders>
              <w:top w:val="single" w:sz="4" w:space="0" w:color="000000"/>
              <w:left w:val="single" w:sz="4" w:space="0" w:color="000000"/>
              <w:bottom w:val="single" w:sz="4" w:space="0" w:color="000000"/>
              <w:right w:val="single" w:sz="4" w:space="0" w:color="000000"/>
            </w:tcBorders>
            <w:vAlign w:val="center"/>
          </w:tcPr>
          <w:p w14:paraId="067AA8B1" w14:textId="77777777" w:rsidR="009C7506" w:rsidRDefault="008B3AB3">
            <w:pPr>
              <w:spacing w:after="0" w:line="259" w:lineRule="auto"/>
              <w:ind w:left="0" w:right="2" w:firstLine="0"/>
              <w:jc w:val="center"/>
            </w:pPr>
            <w:r>
              <w:t xml:space="preserve">1 </w:t>
            </w:r>
          </w:p>
        </w:tc>
        <w:tc>
          <w:tcPr>
            <w:tcW w:w="1246" w:type="dxa"/>
            <w:tcBorders>
              <w:top w:val="single" w:sz="4" w:space="0" w:color="000000"/>
              <w:left w:val="single" w:sz="4" w:space="0" w:color="000000"/>
              <w:bottom w:val="single" w:sz="4" w:space="0" w:color="000000"/>
              <w:right w:val="single" w:sz="4" w:space="0" w:color="000000"/>
            </w:tcBorders>
            <w:vAlign w:val="center"/>
          </w:tcPr>
          <w:p w14:paraId="2AA62FDF" w14:textId="77777777" w:rsidR="009C7506" w:rsidRDefault="008B3AB3">
            <w:pPr>
              <w:spacing w:after="0" w:line="259" w:lineRule="auto"/>
              <w:ind w:left="0" w:right="2" w:firstLine="0"/>
              <w:jc w:val="center"/>
            </w:pPr>
            <w:r>
              <w:t xml:space="preserve">4 </w:t>
            </w:r>
          </w:p>
        </w:tc>
        <w:tc>
          <w:tcPr>
            <w:tcW w:w="1244" w:type="dxa"/>
            <w:tcBorders>
              <w:top w:val="single" w:sz="4" w:space="0" w:color="000000"/>
              <w:left w:val="single" w:sz="4" w:space="0" w:color="000000"/>
              <w:bottom w:val="single" w:sz="4" w:space="0" w:color="000000"/>
              <w:right w:val="single" w:sz="4" w:space="0" w:color="000000"/>
            </w:tcBorders>
            <w:vAlign w:val="center"/>
          </w:tcPr>
          <w:p w14:paraId="44873FE0" w14:textId="77777777" w:rsidR="009C7506" w:rsidRDefault="008B3AB3">
            <w:pPr>
              <w:spacing w:after="0" w:line="259" w:lineRule="auto"/>
              <w:ind w:left="0" w:right="4" w:firstLine="0"/>
              <w:jc w:val="center"/>
            </w:pPr>
            <w:r>
              <w:t xml:space="preserve">4 </w:t>
            </w:r>
          </w:p>
        </w:tc>
        <w:tc>
          <w:tcPr>
            <w:tcW w:w="1116" w:type="dxa"/>
            <w:tcBorders>
              <w:top w:val="single" w:sz="4" w:space="0" w:color="000000"/>
              <w:left w:val="single" w:sz="4" w:space="0" w:color="000000"/>
              <w:bottom w:val="single" w:sz="4" w:space="0" w:color="000000"/>
              <w:right w:val="single" w:sz="4" w:space="0" w:color="000000"/>
            </w:tcBorders>
            <w:vAlign w:val="center"/>
          </w:tcPr>
          <w:p w14:paraId="13AA4141" w14:textId="77777777" w:rsidR="009C7506" w:rsidRDefault="008B3AB3">
            <w:pPr>
              <w:spacing w:after="0" w:line="259" w:lineRule="auto"/>
              <w:ind w:left="0" w:right="2" w:firstLine="0"/>
              <w:jc w:val="center"/>
            </w:pPr>
            <w:r>
              <w:t xml:space="preserve">10 </w:t>
            </w:r>
          </w:p>
        </w:tc>
      </w:tr>
      <w:tr w:rsidR="009C7506" w14:paraId="6FCAFF48" w14:textId="77777777">
        <w:trPr>
          <w:trHeight w:val="478"/>
        </w:trPr>
        <w:tc>
          <w:tcPr>
            <w:tcW w:w="1370" w:type="dxa"/>
            <w:tcBorders>
              <w:top w:val="single" w:sz="4" w:space="0" w:color="000000"/>
              <w:left w:val="single" w:sz="4" w:space="0" w:color="000000"/>
              <w:bottom w:val="single" w:sz="4" w:space="0" w:color="000000"/>
              <w:right w:val="single" w:sz="4" w:space="0" w:color="000000"/>
            </w:tcBorders>
            <w:vAlign w:val="center"/>
          </w:tcPr>
          <w:p w14:paraId="6ABE01F8" w14:textId="77777777" w:rsidR="009C7506" w:rsidRDefault="008B3AB3">
            <w:pPr>
              <w:spacing w:after="0" w:line="259" w:lineRule="auto"/>
              <w:ind w:left="2" w:right="0" w:firstLine="0"/>
              <w:jc w:val="center"/>
            </w:pPr>
            <w:r>
              <w:t xml:space="preserve">2009 </w:t>
            </w:r>
          </w:p>
        </w:tc>
        <w:tc>
          <w:tcPr>
            <w:tcW w:w="1054" w:type="dxa"/>
            <w:tcBorders>
              <w:top w:val="single" w:sz="4" w:space="0" w:color="000000"/>
              <w:left w:val="single" w:sz="4" w:space="0" w:color="000000"/>
              <w:bottom w:val="single" w:sz="4" w:space="0" w:color="000000"/>
              <w:right w:val="single" w:sz="4" w:space="0" w:color="000000"/>
            </w:tcBorders>
            <w:vAlign w:val="center"/>
          </w:tcPr>
          <w:p w14:paraId="165E8799" w14:textId="77777777" w:rsidR="009C7506" w:rsidRDefault="008B3AB3">
            <w:pPr>
              <w:spacing w:after="0" w:line="259" w:lineRule="auto"/>
              <w:ind w:left="0" w:right="3" w:firstLine="0"/>
              <w:jc w:val="center"/>
            </w:pPr>
            <w:r>
              <w:t xml:space="preserve">0 </w:t>
            </w:r>
          </w:p>
        </w:tc>
        <w:tc>
          <w:tcPr>
            <w:tcW w:w="1248" w:type="dxa"/>
            <w:tcBorders>
              <w:top w:val="single" w:sz="4" w:space="0" w:color="000000"/>
              <w:left w:val="single" w:sz="4" w:space="0" w:color="000000"/>
              <w:bottom w:val="single" w:sz="4" w:space="0" w:color="000000"/>
              <w:right w:val="single" w:sz="4" w:space="0" w:color="000000"/>
            </w:tcBorders>
            <w:vAlign w:val="center"/>
          </w:tcPr>
          <w:p w14:paraId="4384BFC4" w14:textId="77777777" w:rsidR="009C7506" w:rsidRDefault="008B3AB3">
            <w:pPr>
              <w:spacing w:after="0" w:line="259" w:lineRule="auto"/>
              <w:ind w:left="0" w:right="0" w:firstLine="0"/>
              <w:jc w:val="center"/>
            </w:pPr>
            <w:r>
              <w:t xml:space="preserve">1 </w:t>
            </w:r>
          </w:p>
        </w:tc>
        <w:tc>
          <w:tcPr>
            <w:tcW w:w="1246" w:type="dxa"/>
            <w:tcBorders>
              <w:top w:val="single" w:sz="4" w:space="0" w:color="000000"/>
              <w:left w:val="single" w:sz="4" w:space="0" w:color="000000"/>
              <w:bottom w:val="single" w:sz="4" w:space="0" w:color="000000"/>
              <w:right w:val="single" w:sz="4" w:space="0" w:color="000000"/>
            </w:tcBorders>
            <w:vAlign w:val="center"/>
          </w:tcPr>
          <w:p w14:paraId="56BD8B1B" w14:textId="77777777" w:rsidR="009C7506" w:rsidRDefault="008B3AB3">
            <w:pPr>
              <w:spacing w:after="0" w:line="259" w:lineRule="auto"/>
              <w:ind w:left="0" w:right="3" w:firstLine="0"/>
              <w:jc w:val="center"/>
            </w:pPr>
            <w:r>
              <w:t xml:space="preserve">17 </w:t>
            </w:r>
          </w:p>
        </w:tc>
        <w:tc>
          <w:tcPr>
            <w:tcW w:w="1246" w:type="dxa"/>
            <w:tcBorders>
              <w:top w:val="single" w:sz="4" w:space="0" w:color="000000"/>
              <w:left w:val="single" w:sz="4" w:space="0" w:color="000000"/>
              <w:bottom w:val="single" w:sz="4" w:space="0" w:color="000000"/>
              <w:right w:val="single" w:sz="4" w:space="0" w:color="000000"/>
            </w:tcBorders>
            <w:vAlign w:val="center"/>
          </w:tcPr>
          <w:p w14:paraId="408E80E5" w14:textId="77777777" w:rsidR="009C7506" w:rsidRDefault="008B3AB3">
            <w:pPr>
              <w:spacing w:after="0" w:line="259" w:lineRule="auto"/>
              <w:ind w:left="0" w:right="2" w:firstLine="0"/>
              <w:jc w:val="center"/>
            </w:pPr>
            <w:r>
              <w:t xml:space="preserve">13 </w:t>
            </w:r>
          </w:p>
        </w:tc>
        <w:tc>
          <w:tcPr>
            <w:tcW w:w="1244" w:type="dxa"/>
            <w:tcBorders>
              <w:top w:val="single" w:sz="4" w:space="0" w:color="000000"/>
              <w:left w:val="single" w:sz="4" w:space="0" w:color="000000"/>
              <w:bottom w:val="single" w:sz="4" w:space="0" w:color="000000"/>
              <w:right w:val="single" w:sz="4" w:space="0" w:color="000000"/>
            </w:tcBorders>
            <w:vAlign w:val="center"/>
          </w:tcPr>
          <w:p w14:paraId="35F3B539" w14:textId="77777777" w:rsidR="009C7506" w:rsidRDefault="008B3AB3">
            <w:pPr>
              <w:spacing w:after="0" w:line="259" w:lineRule="auto"/>
              <w:ind w:left="0" w:right="4" w:firstLine="0"/>
              <w:jc w:val="center"/>
            </w:pPr>
            <w:r>
              <w:t xml:space="preserve">5 </w:t>
            </w:r>
          </w:p>
        </w:tc>
        <w:tc>
          <w:tcPr>
            <w:tcW w:w="1116" w:type="dxa"/>
            <w:tcBorders>
              <w:top w:val="single" w:sz="4" w:space="0" w:color="000000"/>
              <w:left w:val="single" w:sz="4" w:space="0" w:color="000000"/>
              <w:bottom w:val="single" w:sz="4" w:space="0" w:color="000000"/>
              <w:right w:val="single" w:sz="4" w:space="0" w:color="000000"/>
            </w:tcBorders>
            <w:vAlign w:val="center"/>
          </w:tcPr>
          <w:p w14:paraId="617C11FD" w14:textId="77777777" w:rsidR="009C7506" w:rsidRDefault="008B3AB3">
            <w:pPr>
              <w:spacing w:after="0" w:line="259" w:lineRule="auto"/>
              <w:ind w:left="0" w:right="2" w:firstLine="0"/>
              <w:jc w:val="center"/>
            </w:pPr>
            <w:r>
              <w:t xml:space="preserve">36 </w:t>
            </w:r>
          </w:p>
        </w:tc>
      </w:tr>
      <w:tr w:rsidR="009C7506" w14:paraId="6440A227" w14:textId="77777777">
        <w:trPr>
          <w:trHeight w:val="480"/>
        </w:trPr>
        <w:tc>
          <w:tcPr>
            <w:tcW w:w="1370" w:type="dxa"/>
            <w:tcBorders>
              <w:top w:val="single" w:sz="4" w:space="0" w:color="000000"/>
              <w:left w:val="single" w:sz="4" w:space="0" w:color="000000"/>
              <w:bottom w:val="single" w:sz="4" w:space="0" w:color="000000"/>
              <w:right w:val="single" w:sz="4" w:space="0" w:color="000000"/>
            </w:tcBorders>
            <w:vAlign w:val="center"/>
          </w:tcPr>
          <w:p w14:paraId="59B06E55" w14:textId="77777777" w:rsidR="009C7506" w:rsidRDefault="008B3AB3">
            <w:pPr>
              <w:spacing w:after="0" w:line="259" w:lineRule="auto"/>
              <w:ind w:left="2" w:right="0" w:firstLine="0"/>
              <w:jc w:val="center"/>
            </w:pPr>
            <w:r>
              <w:t xml:space="preserve">2010 </w:t>
            </w:r>
          </w:p>
        </w:tc>
        <w:tc>
          <w:tcPr>
            <w:tcW w:w="1054" w:type="dxa"/>
            <w:tcBorders>
              <w:top w:val="single" w:sz="4" w:space="0" w:color="000000"/>
              <w:left w:val="single" w:sz="4" w:space="0" w:color="000000"/>
              <w:bottom w:val="single" w:sz="4" w:space="0" w:color="000000"/>
              <w:right w:val="single" w:sz="4" w:space="0" w:color="000000"/>
            </w:tcBorders>
            <w:vAlign w:val="center"/>
          </w:tcPr>
          <w:p w14:paraId="60859269" w14:textId="77777777" w:rsidR="009C7506" w:rsidRDefault="008B3AB3">
            <w:pPr>
              <w:spacing w:after="0" w:line="259" w:lineRule="auto"/>
              <w:ind w:left="0" w:right="3" w:firstLine="0"/>
              <w:jc w:val="center"/>
            </w:pPr>
            <w:r>
              <w:t xml:space="preserve">0 </w:t>
            </w:r>
          </w:p>
        </w:tc>
        <w:tc>
          <w:tcPr>
            <w:tcW w:w="1248" w:type="dxa"/>
            <w:tcBorders>
              <w:top w:val="single" w:sz="4" w:space="0" w:color="000000"/>
              <w:left w:val="single" w:sz="4" w:space="0" w:color="000000"/>
              <w:bottom w:val="single" w:sz="4" w:space="0" w:color="000000"/>
              <w:right w:val="single" w:sz="4" w:space="0" w:color="000000"/>
            </w:tcBorders>
            <w:vAlign w:val="center"/>
          </w:tcPr>
          <w:p w14:paraId="7F4EB6AF" w14:textId="77777777" w:rsidR="009C7506" w:rsidRDefault="008B3AB3">
            <w:pPr>
              <w:spacing w:after="0" w:line="259" w:lineRule="auto"/>
              <w:ind w:left="0" w:right="0" w:firstLine="0"/>
              <w:jc w:val="center"/>
            </w:pPr>
            <w:r>
              <w:t xml:space="preserve">0 </w:t>
            </w:r>
          </w:p>
        </w:tc>
        <w:tc>
          <w:tcPr>
            <w:tcW w:w="1246" w:type="dxa"/>
            <w:tcBorders>
              <w:top w:val="single" w:sz="4" w:space="0" w:color="000000"/>
              <w:left w:val="single" w:sz="4" w:space="0" w:color="000000"/>
              <w:bottom w:val="single" w:sz="4" w:space="0" w:color="000000"/>
              <w:right w:val="single" w:sz="4" w:space="0" w:color="000000"/>
            </w:tcBorders>
            <w:vAlign w:val="center"/>
          </w:tcPr>
          <w:p w14:paraId="09C35109" w14:textId="77777777" w:rsidR="009C7506" w:rsidRDefault="008B3AB3">
            <w:pPr>
              <w:spacing w:after="0" w:line="259" w:lineRule="auto"/>
              <w:ind w:left="0" w:right="2" w:firstLine="0"/>
              <w:jc w:val="center"/>
            </w:pPr>
            <w:r>
              <w:t xml:space="preserve">4 </w:t>
            </w:r>
          </w:p>
        </w:tc>
        <w:tc>
          <w:tcPr>
            <w:tcW w:w="1246" w:type="dxa"/>
            <w:tcBorders>
              <w:top w:val="single" w:sz="4" w:space="0" w:color="000000"/>
              <w:left w:val="single" w:sz="4" w:space="0" w:color="000000"/>
              <w:bottom w:val="single" w:sz="4" w:space="0" w:color="000000"/>
              <w:right w:val="single" w:sz="4" w:space="0" w:color="000000"/>
            </w:tcBorders>
            <w:vAlign w:val="center"/>
          </w:tcPr>
          <w:p w14:paraId="25088AAE" w14:textId="77777777" w:rsidR="009C7506" w:rsidRDefault="008B3AB3">
            <w:pPr>
              <w:spacing w:after="0" w:line="259" w:lineRule="auto"/>
              <w:ind w:left="0" w:right="2" w:firstLine="0"/>
              <w:jc w:val="center"/>
            </w:pPr>
            <w:r>
              <w:t xml:space="preserve">4 </w:t>
            </w:r>
          </w:p>
        </w:tc>
        <w:tc>
          <w:tcPr>
            <w:tcW w:w="1244" w:type="dxa"/>
            <w:tcBorders>
              <w:top w:val="single" w:sz="4" w:space="0" w:color="000000"/>
              <w:left w:val="single" w:sz="4" w:space="0" w:color="000000"/>
              <w:bottom w:val="single" w:sz="4" w:space="0" w:color="000000"/>
              <w:right w:val="single" w:sz="4" w:space="0" w:color="000000"/>
            </w:tcBorders>
            <w:vAlign w:val="center"/>
          </w:tcPr>
          <w:p w14:paraId="53BD08D4" w14:textId="77777777" w:rsidR="009C7506" w:rsidRDefault="008B3AB3">
            <w:pPr>
              <w:spacing w:after="0" w:line="259" w:lineRule="auto"/>
              <w:ind w:left="0" w:right="4" w:firstLine="0"/>
              <w:jc w:val="center"/>
            </w:pPr>
            <w:r>
              <w:t xml:space="preserve">2 </w:t>
            </w:r>
          </w:p>
        </w:tc>
        <w:tc>
          <w:tcPr>
            <w:tcW w:w="1116" w:type="dxa"/>
            <w:tcBorders>
              <w:top w:val="single" w:sz="4" w:space="0" w:color="000000"/>
              <w:left w:val="single" w:sz="4" w:space="0" w:color="000000"/>
              <w:bottom w:val="single" w:sz="4" w:space="0" w:color="000000"/>
              <w:right w:val="single" w:sz="4" w:space="0" w:color="000000"/>
            </w:tcBorders>
            <w:vAlign w:val="center"/>
          </w:tcPr>
          <w:p w14:paraId="1608A222" w14:textId="77777777" w:rsidR="009C7506" w:rsidRDefault="008B3AB3">
            <w:pPr>
              <w:spacing w:after="0" w:line="259" w:lineRule="auto"/>
              <w:ind w:left="0" w:right="2" w:firstLine="0"/>
              <w:jc w:val="center"/>
            </w:pPr>
            <w:r>
              <w:t xml:space="preserve">10 </w:t>
            </w:r>
          </w:p>
        </w:tc>
      </w:tr>
      <w:tr w:rsidR="009C7506" w14:paraId="2F89F2A9" w14:textId="77777777">
        <w:trPr>
          <w:trHeight w:val="478"/>
        </w:trPr>
        <w:tc>
          <w:tcPr>
            <w:tcW w:w="1370" w:type="dxa"/>
            <w:tcBorders>
              <w:top w:val="single" w:sz="4" w:space="0" w:color="000000"/>
              <w:left w:val="single" w:sz="4" w:space="0" w:color="000000"/>
              <w:bottom w:val="single" w:sz="4" w:space="0" w:color="000000"/>
              <w:right w:val="single" w:sz="4" w:space="0" w:color="000000"/>
            </w:tcBorders>
            <w:vAlign w:val="center"/>
          </w:tcPr>
          <w:p w14:paraId="1E99AE07" w14:textId="77777777" w:rsidR="009C7506" w:rsidRDefault="008B3AB3">
            <w:pPr>
              <w:spacing w:after="0" w:line="259" w:lineRule="auto"/>
              <w:ind w:left="0" w:right="0" w:firstLine="0"/>
              <w:jc w:val="center"/>
            </w:pPr>
            <w:r>
              <w:t xml:space="preserve">2011 </w:t>
            </w:r>
          </w:p>
        </w:tc>
        <w:tc>
          <w:tcPr>
            <w:tcW w:w="1054" w:type="dxa"/>
            <w:tcBorders>
              <w:top w:val="single" w:sz="4" w:space="0" w:color="000000"/>
              <w:left w:val="single" w:sz="4" w:space="0" w:color="000000"/>
              <w:bottom w:val="single" w:sz="4" w:space="0" w:color="000000"/>
              <w:right w:val="single" w:sz="4" w:space="0" w:color="000000"/>
            </w:tcBorders>
            <w:vAlign w:val="center"/>
          </w:tcPr>
          <w:p w14:paraId="08B5FFB0" w14:textId="77777777" w:rsidR="009C7506" w:rsidRDefault="008B3AB3">
            <w:pPr>
              <w:spacing w:after="0" w:line="259" w:lineRule="auto"/>
              <w:ind w:left="0" w:right="3" w:firstLine="0"/>
              <w:jc w:val="center"/>
            </w:pPr>
            <w:r>
              <w:t xml:space="preserve">0 </w:t>
            </w:r>
          </w:p>
        </w:tc>
        <w:tc>
          <w:tcPr>
            <w:tcW w:w="1248" w:type="dxa"/>
            <w:tcBorders>
              <w:top w:val="single" w:sz="4" w:space="0" w:color="000000"/>
              <w:left w:val="single" w:sz="4" w:space="0" w:color="000000"/>
              <w:bottom w:val="single" w:sz="4" w:space="0" w:color="000000"/>
              <w:right w:val="single" w:sz="4" w:space="0" w:color="000000"/>
            </w:tcBorders>
            <w:vAlign w:val="center"/>
          </w:tcPr>
          <w:p w14:paraId="491EBECE" w14:textId="77777777" w:rsidR="009C7506" w:rsidRDefault="008B3AB3">
            <w:pPr>
              <w:spacing w:after="0" w:line="259" w:lineRule="auto"/>
              <w:ind w:left="0" w:right="0" w:firstLine="0"/>
              <w:jc w:val="center"/>
            </w:pPr>
            <w:r>
              <w:t xml:space="preserve">0 </w:t>
            </w:r>
          </w:p>
        </w:tc>
        <w:tc>
          <w:tcPr>
            <w:tcW w:w="1246" w:type="dxa"/>
            <w:tcBorders>
              <w:top w:val="single" w:sz="4" w:space="0" w:color="000000"/>
              <w:left w:val="single" w:sz="4" w:space="0" w:color="000000"/>
              <w:bottom w:val="single" w:sz="4" w:space="0" w:color="000000"/>
              <w:right w:val="single" w:sz="4" w:space="0" w:color="000000"/>
            </w:tcBorders>
            <w:vAlign w:val="center"/>
          </w:tcPr>
          <w:p w14:paraId="3B8AC3B2" w14:textId="77777777" w:rsidR="009C7506" w:rsidRDefault="008B3AB3">
            <w:pPr>
              <w:spacing w:after="0" w:line="259" w:lineRule="auto"/>
              <w:ind w:left="0" w:right="3" w:firstLine="0"/>
              <w:jc w:val="center"/>
            </w:pPr>
            <w:r>
              <w:t xml:space="preserve">28 </w:t>
            </w:r>
          </w:p>
        </w:tc>
        <w:tc>
          <w:tcPr>
            <w:tcW w:w="1246" w:type="dxa"/>
            <w:tcBorders>
              <w:top w:val="single" w:sz="4" w:space="0" w:color="000000"/>
              <w:left w:val="single" w:sz="4" w:space="0" w:color="000000"/>
              <w:bottom w:val="single" w:sz="4" w:space="0" w:color="000000"/>
              <w:right w:val="single" w:sz="4" w:space="0" w:color="000000"/>
            </w:tcBorders>
            <w:vAlign w:val="center"/>
          </w:tcPr>
          <w:p w14:paraId="55825BDB" w14:textId="77777777" w:rsidR="009C7506" w:rsidRDefault="008B3AB3">
            <w:pPr>
              <w:spacing w:after="0" w:line="259" w:lineRule="auto"/>
              <w:ind w:left="0" w:right="2" w:firstLine="0"/>
              <w:jc w:val="center"/>
            </w:pPr>
            <w:r>
              <w:t xml:space="preserve">20 </w:t>
            </w:r>
          </w:p>
        </w:tc>
        <w:tc>
          <w:tcPr>
            <w:tcW w:w="1244" w:type="dxa"/>
            <w:tcBorders>
              <w:top w:val="single" w:sz="4" w:space="0" w:color="000000"/>
              <w:left w:val="single" w:sz="4" w:space="0" w:color="000000"/>
              <w:bottom w:val="single" w:sz="4" w:space="0" w:color="000000"/>
              <w:right w:val="single" w:sz="4" w:space="0" w:color="000000"/>
            </w:tcBorders>
            <w:vAlign w:val="center"/>
          </w:tcPr>
          <w:p w14:paraId="050AB262" w14:textId="77777777" w:rsidR="009C7506" w:rsidRDefault="008B3AB3">
            <w:pPr>
              <w:spacing w:after="0" w:line="259" w:lineRule="auto"/>
              <w:ind w:left="0" w:right="4" w:firstLine="0"/>
              <w:jc w:val="center"/>
            </w:pPr>
            <w:r>
              <w:t xml:space="preserve">16 </w:t>
            </w:r>
          </w:p>
        </w:tc>
        <w:tc>
          <w:tcPr>
            <w:tcW w:w="1116" w:type="dxa"/>
            <w:tcBorders>
              <w:top w:val="single" w:sz="4" w:space="0" w:color="000000"/>
              <w:left w:val="single" w:sz="4" w:space="0" w:color="000000"/>
              <w:bottom w:val="single" w:sz="4" w:space="0" w:color="000000"/>
              <w:right w:val="single" w:sz="4" w:space="0" w:color="000000"/>
            </w:tcBorders>
            <w:vAlign w:val="center"/>
          </w:tcPr>
          <w:p w14:paraId="066A1A91" w14:textId="77777777" w:rsidR="009C7506" w:rsidRDefault="008B3AB3">
            <w:pPr>
              <w:spacing w:after="0" w:line="259" w:lineRule="auto"/>
              <w:ind w:left="0" w:right="2" w:firstLine="0"/>
              <w:jc w:val="center"/>
            </w:pPr>
            <w:r>
              <w:t xml:space="preserve">64 </w:t>
            </w:r>
          </w:p>
        </w:tc>
      </w:tr>
      <w:tr w:rsidR="009C7506" w14:paraId="51125D04" w14:textId="77777777">
        <w:trPr>
          <w:trHeight w:val="478"/>
        </w:trPr>
        <w:tc>
          <w:tcPr>
            <w:tcW w:w="1370" w:type="dxa"/>
            <w:tcBorders>
              <w:top w:val="single" w:sz="4" w:space="0" w:color="000000"/>
              <w:left w:val="single" w:sz="4" w:space="0" w:color="000000"/>
              <w:bottom w:val="single" w:sz="4" w:space="0" w:color="000000"/>
              <w:right w:val="single" w:sz="4" w:space="0" w:color="000000"/>
            </w:tcBorders>
            <w:vAlign w:val="center"/>
          </w:tcPr>
          <w:p w14:paraId="5A2F09E5" w14:textId="77777777" w:rsidR="009C7506" w:rsidRDefault="008B3AB3">
            <w:pPr>
              <w:spacing w:after="0" w:line="259" w:lineRule="auto"/>
              <w:ind w:left="2" w:right="0" w:firstLine="0"/>
              <w:jc w:val="center"/>
            </w:pPr>
            <w:r>
              <w:lastRenderedPageBreak/>
              <w:t xml:space="preserve">2012 </w:t>
            </w:r>
          </w:p>
        </w:tc>
        <w:tc>
          <w:tcPr>
            <w:tcW w:w="1054" w:type="dxa"/>
            <w:tcBorders>
              <w:top w:val="single" w:sz="4" w:space="0" w:color="000000"/>
              <w:left w:val="single" w:sz="4" w:space="0" w:color="000000"/>
              <w:bottom w:val="single" w:sz="4" w:space="0" w:color="000000"/>
              <w:right w:val="single" w:sz="4" w:space="0" w:color="000000"/>
            </w:tcBorders>
            <w:vAlign w:val="center"/>
          </w:tcPr>
          <w:p w14:paraId="599B817D" w14:textId="77777777" w:rsidR="009C7506" w:rsidRDefault="008B3AB3">
            <w:pPr>
              <w:spacing w:after="0" w:line="259" w:lineRule="auto"/>
              <w:ind w:left="0" w:right="3" w:firstLine="0"/>
              <w:jc w:val="center"/>
            </w:pPr>
            <w:r>
              <w:t xml:space="preserve">0 </w:t>
            </w:r>
          </w:p>
        </w:tc>
        <w:tc>
          <w:tcPr>
            <w:tcW w:w="1248" w:type="dxa"/>
            <w:tcBorders>
              <w:top w:val="single" w:sz="4" w:space="0" w:color="000000"/>
              <w:left w:val="single" w:sz="4" w:space="0" w:color="000000"/>
              <w:bottom w:val="single" w:sz="4" w:space="0" w:color="000000"/>
              <w:right w:val="single" w:sz="4" w:space="0" w:color="000000"/>
            </w:tcBorders>
            <w:vAlign w:val="center"/>
          </w:tcPr>
          <w:p w14:paraId="3DC37672" w14:textId="77777777" w:rsidR="009C7506" w:rsidRDefault="008B3AB3">
            <w:pPr>
              <w:spacing w:after="0" w:line="259" w:lineRule="auto"/>
              <w:ind w:left="0" w:right="0" w:firstLine="0"/>
              <w:jc w:val="center"/>
            </w:pPr>
            <w:r>
              <w:t xml:space="preserve">1 </w:t>
            </w:r>
          </w:p>
        </w:tc>
        <w:tc>
          <w:tcPr>
            <w:tcW w:w="1246" w:type="dxa"/>
            <w:tcBorders>
              <w:top w:val="single" w:sz="4" w:space="0" w:color="000000"/>
              <w:left w:val="single" w:sz="4" w:space="0" w:color="000000"/>
              <w:bottom w:val="single" w:sz="4" w:space="0" w:color="000000"/>
              <w:right w:val="single" w:sz="4" w:space="0" w:color="000000"/>
            </w:tcBorders>
            <w:vAlign w:val="center"/>
          </w:tcPr>
          <w:p w14:paraId="0EA3CBAF" w14:textId="77777777" w:rsidR="009C7506" w:rsidRDefault="008B3AB3">
            <w:pPr>
              <w:spacing w:after="0" w:line="259" w:lineRule="auto"/>
              <w:ind w:left="0" w:right="3" w:firstLine="0"/>
              <w:jc w:val="center"/>
            </w:pPr>
            <w:r>
              <w:t xml:space="preserve">53 </w:t>
            </w:r>
          </w:p>
        </w:tc>
        <w:tc>
          <w:tcPr>
            <w:tcW w:w="1246" w:type="dxa"/>
            <w:tcBorders>
              <w:top w:val="single" w:sz="4" w:space="0" w:color="000000"/>
              <w:left w:val="single" w:sz="4" w:space="0" w:color="000000"/>
              <w:bottom w:val="single" w:sz="4" w:space="0" w:color="000000"/>
              <w:right w:val="single" w:sz="4" w:space="0" w:color="000000"/>
            </w:tcBorders>
            <w:vAlign w:val="center"/>
          </w:tcPr>
          <w:p w14:paraId="3CC9AB00" w14:textId="77777777" w:rsidR="009C7506" w:rsidRDefault="008B3AB3">
            <w:pPr>
              <w:spacing w:after="0" w:line="259" w:lineRule="auto"/>
              <w:ind w:left="0" w:right="2" w:firstLine="0"/>
              <w:jc w:val="center"/>
            </w:pPr>
            <w:r>
              <w:t xml:space="preserve">31 </w:t>
            </w:r>
          </w:p>
        </w:tc>
        <w:tc>
          <w:tcPr>
            <w:tcW w:w="1244" w:type="dxa"/>
            <w:tcBorders>
              <w:top w:val="single" w:sz="4" w:space="0" w:color="000000"/>
              <w:left w:val="single" w:sz="4" w:space="0" w:color="000000"/>
              <w:bottom w:val="single" w:sz="4" w:space="0" w:color="000000"/>
              <w:right w:val="single" w:sz="4" w:space="0" w:color="000000"/>
            </w:tcBorders>
            <w:vAlign w:val="center"/>
          </w:tcPr>
          <w:p w14:paraId="1FB20235" w14:textId="77777777" w:rsidR="009C7506" w:rsidRDefault="008B3AB3">
            <w:pPr>
              <w:spacing w:after="0" w:line="259" w:lineRule="auto"/>
              <w:ind w:left="0" w:right="4" w:firstLine="0"/>
              <w:jc w:val="center"/>
            </w:pPr>
            <w:r>
              <w:t xml:space="preserve">19 </w:t>
            </w:r>
          </w:p>
        </w:tc>
        <w:tc>
          <w:tcPr>
            <w:tcW w:w="1116" w:type="dxa"/>
            <w:tcBorders>
              <w:top w:val="single" w:sz="4" w:space="0" w:color="000000"/>
              <w:left w:val="single" w:sz="4" w:space="0" w:color="000000"/>
              <w:bottom w:val="single" w:sz="4" w:space="0" w:color="000000"/>
              <w:right w:val="single" w:sz="4" w:space="0" w:color="000000"/>
            </w:tcBorders>
            <w:vAlign w:val="center"/>
          </w:tcPr>
          <w:p w14:paraId="0B0B719D" w14:textId="77777777" w:rsidR="009C7506" w:rsidRDefault="008B3AB3">
            <w:pPr>
              <w:spacing w:after="0" w:line="259" w:lineRule="auto"/>
              <w:ind w:left="0" w:right="2" w:firstLine="0"/>
              <w:jc w:val="center"/>
            </w:pPr>
            <w:r>
              <w:t xml:space="preserve">104 </w:t>
            </w:r>
          </w:p>
        </w:tc>
      </w:tr>
      <w:tr w:rsidR="009C7506" w14:paraId="67298644" w14:textId="77777777">
        <w:trPr>
          <w:trHeight w:val="478"/>
        </w:trPr>
        <w:tc>
          <w:tcPr>
            <w:tcW w:w="1370" w:type="dxa"/>
            <w:tcBorders>
              <w:top w:val="single" w:sz="4" w:space="0" w:color="000000"/>
              <w:left w:val="single" w:sz="4" w:space="0" w:color="000000"/>
              <w:bottom w:val="single" w:sz="4" w:space="0" w:color="000000"/>
              <w:right w:val="single" w:sz="4" w:space="0" w:color="000000"/>
            </w:tcBorders>
            <w:vAlign w:val="center"/>
          </w:tcPr>
          <w:p w14:paraId="48873925" w14:textId="77777777" w:rsidR="009C7506" w:rsidRDefault="008B3AB3">
            <w:pPr>
              <w:spacing w:after="0" w:line="259" w:lineRule="auto"/>
              <w:ind w:left="2" w:right="0" w:firstLine="0"/>
              <w:jc w:val="center"/>
            </w:pPr>
            <w:r>
              <w:t xml:space="preserve">2013 </w:t>
            </w:r>
          </w:p>
        </w:tc>
        <w:tc>
          <w:tcPr>
            <w:tcW w:w="1054" w:type="dxa"/>
            <w:tcBorders>
              <w:top w:val="single" w:sz="4" w:space="0" w:color="000000"/>
              <w:left w:val="single" w:sz="4" w:space="0" w:color="000000"/>
              <w:bottom w:val="single" w:sz="4" w:space="0" w:color="000000"/>
              <w:right w:val="single" w:sz="4" w:space="0" w:color="000000"/>
            </w:tcBorders>
            <w:vAlign w:val="center"/>
          </w:tcPr>
          <w:p w14:paraId="06A8205A" w14:textId="77777777" w:rsidR="009C7506" w:rsidRDefault="008B3AB3">
            <w:pPr>
              <w:spacing w:after="0" w:line="259" w:lineRule="auto"/>
              <w:ind w:left="0" w:right="3" w:firstLine="0"/>
              <w:jc w:val="center"/>
            </w:pPr>
            <w:r>
              <w:t xml:space="preserve">1 </w:t>
            </w:r>
          </w:p>
        </w:tc>
        <w:tc>
          <w:tcPr>
            <w:tcW w:w="1248" w:type="dxa"/>
            <w:tcBorders>
              <w:top w:val="single" w:sz="4" w:space="0" w:color="000000"/>
              <w:left w:val="single" w:sz="4" w:space="0" w:color="000000"/>
              <w:bottom w:val="single" w:sz="4" w:space="0" w:color="000000"/>
              <w:right w:val="single" w:sz="4" w:space="0" w:color="000000"/>
            </w:tcBorders>
            <w:vAlign w:val="center"/>
          </w:tcPr>
          <w:p w14:paraId="7AEDE359" w14:textId="77777777" w:rsidR="009C7506" w:rsidRDefault="008B3AB3">
            <w:pPr>
              <w:spacing w:after="0" w:line="259" w:lineRule="auto"/>
              <w:ind w:left="0" w:right="0" w:firstLine="0"/>
              <w:jc w:val="center"/>
            </w:pPr>
            <w:r>
              <w:t xml:space="preserve">2 </w:t>
            </w:r>
          </w:p>
        </w:tc>
        <w:tc>
          <w:tcPr>
            <w:tcW w:w="1246" w:type="dxa"/>
            <w:tcBorders>
              <w:top w:val="single" w:sz="4" w:space="0" w:color="000000"/>
              <w:left w:val="single" w:sz="4" w:space="0" w:color="000000"/>
              <w:bottom w:val="single" w:sz="4" w:space="0" w:color="000000"/>
              <w:right w:val="single" w:sz="4" w:space="0" w:color="000000"/>
            </w:tcBorders>
            <w:vAlign w:val="center"/>
          </w:tcPr>
          <w:p w14:paraId="1337D88D" w14:textId="77777777" w:rsidR="009C7506" w:rsidRDefault="008B3AB3">
            <w:pPr>
              <w:spacing w:after="0" w:line="259" w:lineRule="auto"/>
              <w:ind w:left="0" w:right="3" w:firstLine="0"/>
              <w:jc w:val="center"/>
            </w:pPr>
            <w:r>
              <w:t xml:space="preserve">21 </w:t>
            </w:r>
          </w:p>
        </w:tc>
        <w:tc>
          <w:tcPr>
            <w:tcW w:w="1246" w:type="dxa"/>
            <w:tcBorders>
              <w:top w:val="single" w:sz="4" w:space="0" w:color="000000"/>
              <w:left w:val="single" w:sz="4" w:space="0" w:color="000000"/>
              <w:bottom w:val="single" w:sz="4" w:space="0" w:color="000000"/>
              <w:right w:val="single" w:sz="4" w:space="0" w:color="000000"/>
            </w:tcBorders>
            <w:vAlign w:val="center"/>
          </w:tcPr>
          <w:p w14:paraId="607B5F94" w14:textId="77777777" w:rsidR="009C7506" w:rsidRDefault="008B3AB3">
            <w:pPr>
              <w:spacing w:after="0" w:line="259" w:lineRule="auto"/>
              <w:ind w:left="0" w:right="2" w:firstLine="0"/>
              <w:jc w:val="center"/>
            </w:pPr>
            <w:r>
              <w:t xml:space="preserve">13 </w:t>
            </w:r>
          </w:p>
        </w:tc>
        <w:tc>
          <w:tcPr>
            <w:tcW w:w="1244" w:type="dxa"/>
            <w:tcBorders>
              <w:top w:val="single" w:sz="4" w:space="0" w:color="000000"/>
              <w:left w:val="single" w:sz="4" w:space="0" w:color="000000"/>
              <w:bottom w:val="single" w:sz="4" w:space="0" w:color="000000"/>
              <w:right w:val="single" w:sz="4" w:space="0" w:color="000000"/>
            </w:tcBorders>
            <w:vAlign w:val="center"/>
          </w:tcPr>
          <w:p w14:paraId="780EA01B" w14:textId="77777777" w:rsidR="009C7506" w:rsidRDefault="008B3AB3">
            <w:pPr>
              <w:spacing w:after="0" w:line="259" w:lineRule="auto"/>
              <w:ind w:left="0" w:right="4" w:firstLine="0"/>
              <w:jc w:val="center"/>
            </w:pPr>
            <w:r>
              <w:t xml:space="preserve">19 </w:t>
            </w:r>
          </w:p>
        </w:tc>
        <w:tc>
          <w:tcPr>
            <w:tcW w:w="1116" w:type="dxa"/>
            <w:tcBorders>
              <w:top w:val="single" w:sz="4" w:space="0" w:color="000000"/>
              <w:left w:val="single" w:sz="4" w:space="0" w:color="000000"/>
              <w:bottom w:val="single" w:sz="4" w:space="0" w:color="000000"/>
              <w:right w:val="single" w:sz="4" w:space="0" w:color="000000"/>
            </w:tcBorders>
            <w:vAlign w:val="center"/>
          </w:tcPr>
          <w:p w14:paraId="642128DD" w14:textId="77777777" w:rsidR="009C7506" w:rsidRDefault="008B3AB3">
            <w:pPr>
              <w:spacing w:after="0" w:line="259" w:lineRule="auto"/>
              <w:ind w:left="0" w:right="2" w:firstLine="0"/>
              <w:jc w:val="center"/>
            </w:pPr>
            <w:r>
              <w:t xml:space="preserve">56 </w:t>
            </w:r>
          </w:p>
        </w:tc>
      </w:tr>
      <w:tr w:rsidR="009C7506" w14:paraId="0F6D4441" w14:textId="77777777">
        <w:trPr>
          <w:trHeight w:val="478"/>
        </w:trPr>
        <w:tc>
          <w:tcPr>
            <w:tcW w:w="1370" w:type="dxa"/>
            <w:tcBorders>
              <w:top w:val="single" w:sz="4" w:space="0" w:color="000000"/>
              <w:left w:val="single" w:sz="4" w:space="0" w:color="000000"/>
              <w:bottom w:val="single" w:sz="4" w:space="0" w:color="000000"/>
              <w:right w:val="single" w:sz="4" w:space="0" w:color="000000"/>
            </w:tcBorders>
            <w:vAlign w:val="center"/>
          </w:tcPr>
          <w:p w14:paraId="3F10D2B1" w14:textId="77777777" w:rsidR="009C7506" w:rsidRDefault="008B3AB3">
            <w:pPr>
              <w:spacing w:after="0" w:line="259" w:lineRule="auto"/>
              <w:ind w:left="2" w:right="0" w:firstLine="0"/>
              <w:jc w:val="center"/>
            </w:pPr>
            <w:r>
              <w:t xml:space="preserve">2014 </w:t>
            </w:r>
          </w:p>
        </w:tc>
        <w:tc>
          <w:tcPr>
            <w:tcW w:w="1054" w:type="dxa"/>
            <w:tcBorders>
              <w:top w:val="single" w:sz="4" w:space="0" w:color="000000"/>
              <w:left w:val="single" w:sz="4" w:space="0" w:color="000000"/>
              <w:bottom w:val="single" w:sz="4" w:space="0" w:color="000000"/>
              <w:right w:val="single" w:sz="4" w:space="0" w:color="000000"/>
            </w:tcBorders>
            <w:vAlign w:val="center"/>
          </w:tcPr>
          <w:p w14:paraId="036FB10A" w14:textId="77777777" w:rsidR="009C7506" w:rsidRDefault="008B3AB3">
            <w:pPr>
              <w:spacing w:after="0" w:line="259" w:lineRule="auto"/>
              <w:ind w:left="0" w:right="3" w:firstLine="0"/>
              <w:jc w:val="center"/>
            </w:pPr>
            <w:r>
              <w:t xml:space="preserve">0 </w:t>
            </w:r>
          </w:p>
        </w:tc>
        <w:tc>
          <w:tcPr>
            <w:tcW w:w="1248" w:type="dxa"/>
            <w:tcBorders>
              <w:top w:val="single" w:sz="4" w:space="0" w:color="000000"/>
              <w:left w:val="single" w:sz="4" w:space="0" w:color="000000"/>
              <w:bottom w:val="single" w:sz="4" w:space="0" w:color="000000"/>
              <w:right w:val="single" w:sz="4" w:space="0" w:color="000000"/>
            </w:tcBorders>
            <w:vAlign w:val="center"/>
          </w:tcPr>
          <w:p w14:paraId="6EE76CD9" w14:textId="77777777" w:rsidR="009C7506" w:rsidRDefault="008B3AB3">
            <w:pPr>
              <w:spacing w:after="0" w:line="259" w:lineRule="auto"/>
              <w:ind w:left="0" w:right="0" w:firstLine="0"/>
              <w:jc w:val="center"/>
            </w:pPr>
            <w:r>
              <w:t xml:space="preserve">4 </w:t>
            </w:r>
          </w:p>
        </w:tc>
        <w:tc>
          <w:tcPr>
            <w:tcW w:w="1246" w:type="dxa"/>
            <w:tcBorders>
              <w:top w:val="single" w:sz="4" w:space="0" w:color="000000"/>
              <w:left w:val="single" w:sz="4" w:space="0" w:color="000000"/>
              <w:bottom w:val="single" w:sz="4" w:space="0" w:color="000000"/>
              <w:right w:val="single" w:sz="4" w:space="0" w:color="000000"/>
            </w:tcBorders>
            <w:vAlign w:val="center"/>
          </w:tcPr>
          <w:p w14:paraId="3F47C515" w14:textId="77777777" w:rsidR="009C7506" w:rsidRDefault="008B3AB3">
            <w:pPr>
              <w:spacing w:after="0" w:line="259" w:lineRule="auto"/>
              <w:ind w:left="0" w:right="3" w:firstLine="0"/>
              <w:jc w:val="center"/>
            </w:pPr>
            <w:r>
              <w:t xml:space="preserve">25 </w:t>
            </w:r>
          </w:p>
        </w:tc>
        <w:tc>
          <w:tcPr>
            <w:tcW w:w="1246" w:type="dxa"/>
            <w:tcBorders>
              <w:top w:val="single" w:sz="4" w:space="0" w:color="000000"/>
              <w:left w:val="single" w:sz="4" w:space="0" w:color="000000"/>
              <w:bottom w:val="single" w:sz="4" w:space="0" w:color="000000"/>
              <w:right w:val="single" w:sz="4" w:space="0" w:color="000000"/>
            </w:tcBorders>
            <w:vAlign w:val="center"/>
          </w:tcPr>
          <w:p w14:paraId="3F608108" w14:textId="77777777" w:rsidR="009C7506" w:rsidRDefault="008B3AB3">
            <w:pPr>
              <w:spacing w:after="0" w:line="259" w:lineRule="auto"/>
              <w:ind w:left="0" w:right="2" w:firstLine="0"/>
              <w:jc w:val="center"/>
            </w:pPr>
            <w:r>
              <w:t xml:space="preserve">15 </w:t>
            </w:r>
          </w:p>
        </w:tc>
        <w:tc>
          <w:tcPr>
            <w:tcW w:w="1244" w:type="dxa"/>
            <w:tcBorders>
              <w:top w:val="single" w:sz="4" w:space="0" w:color="000000"/>
              <w:left w:val="single" w:sz="4" w:space="0" w:color="000000"/>
              <w:bottom w:val="single" w:sz="4" w:space="0" w:color="000000"/>
              <w:right w:val="single" w:sz="4" w:space="0" w:color="000000"/>
            </w:tcBorders>
            <w:vAlign w:val="center"/>
          </w:tcPr>
          <w:p w14:paraId="7442F7E7" w14:textId="77777777" w:rsidR="009C7506" w:rsidRDefault="008B3AB3">
            <w:pPr>
              <w:spacing w:after="0" w:line="259" w:lineRule="auto"/>
              <w:ind w:left="0" w:right="4" w:firstLine="0"/>
              <w:jc w:val="center"/>
            </w:pPr>
            <w:r>
              <w:t xml:space="preserve">16 </w:t>
            </w:r>
          </w:p>
        </w:tc>
        <w:tc>
          <w:tcPr>
            <w:tcW w:w="1116" w:type="dxa"/>
            <w:tcBorders>
              <w:top w:val="single" w:sz="4" w:space="0" w:color="000000"/>
              <w:left w:val="single" w:sz="4" w:space="0" w:color="000000"/>
              <w:bottom w:val="single" w:sz="4" w:space="0" w:color="000000"/>
              <w:right w:val="single" w:sz="4" w:space="0" w:color="000000"/>
            </w:tcBorders>
            <w:vAlign w:val="center"/>
          </w:tcPr>
          <w:p w14:paraId="482D5D9E" w14:textId="77777777" w:rsidR="009C7506" w:rsidRDefault="008B3AB3">
            <w:pPr>
              <w:spacing w:after="0" w:line="259" w:lineRule="auto"/>
              <w:ind w:left="0" w:right="2" w:firstLine="0"/>
              <w:jc w:val="center"/>
            </w:pPr>
            <w:r>
              <w:t xml:space="preserve">60 </w:t>
            </w:r>
          </w:p>
        </w:tc>
      </w:tr>
      <w:tr w:rsidR="009C7506" w14:paraId="224FBFEF" w14:textId="77777777">
        <w:trPr>
          <w:trHeight w:val="478"/>
        </w:trPr>
        <w:tc>
          <w:tcPr>
            <w:tcW w:w="1370" w:type="dxa"/>
            <w:tcBorders>
              <w:top w:val="single" w:sz="4" w:space="0" w:color="000000"/>
              <w:left w:val="single" w:sz="4" w:space="0" w:color="000000"/>
              <w:bottom w:val="single" w:sz="4" w:space="0" w:color="000000"/>
              <w:right w:val="single" w:sz="4" w:space="0" w:color="000000"/>
            </w:tcBorders>
            <w:vAlign w:val="center"/>
          </w:tcPr>
          <w:p w14:paraId="6DE01A86" w14:textId="77777777" w:rsidR="009C7506" w:rsidRDefault="008B3AB3">
            <w:pPr>
              <w:spacing w:after="0" w:line="259" w:lineRule="auto"/>
              <w:ind w:left="2" w:right="0" w:firstLine="0"/>
              <w:jc w:val="center"/>
            </w:pPr>
            <w:r>
              <w:t xml:space="preserve">2015 </w:t>
            </w:r>
          </w:p>
        </w:tc>
        <w:tc>
          <w:tcPr>
            <w:tcW w:w="1054" w:type="dxa"/>
            <w:tcBorders>
              <w:top w:val="single" w:sz="4" w:space="0" w:color="000000"/>
              <w:left w:val="single" w:sz="4" w:space="0" w:color="000000"/>
              <w:bottom w:val="single" w:sz="4" w:space="0" w:color="000000"/>
              <w:right w:val="single" w:sz="4" w:space="0" w:color="000000"/>
            </w:tcBorders>
            <w:vAlign w:val="center"/>
          </w:tcPr>
          <w:p w14:paraId="49666743" w14:textId="77777777" w:rsidR="009C7506" w:rsidRDefault="008B3AB3">
            <w:pPr>
              <w:spacing w:after="0" w:line="259" w:lineRule="auto"/>
              <w:ind w:left="0" w:right="3" w:firstLine="0"/>
              <w:jc w:val="center"/>
            </w:pPr>
            <w:r>
              <w:t xml:space="preserve">0 </w:t>
            </w:r>
          </w:p>
        </w:tc>
        <w:tc>
          <w:tcPr>
            <w:tcW w:w="1248" w:type="dxa"/>
            <w:tcBorders>
              <w:top w:val="single" w:sz="4" w:space="0" w:color="000000"/>
              <w:left w:val="single" w:sz="4" w:space="0" w:color="000000"/>
              <w:bottom w:val="single" w:sz="4" w:space="0" w:color="000000"/>
              <w:right w:val="single" w:sz="4" w:space="0" w:color="000000"/>
            </w:tcBorders>
            <w:vAlign w:val="center"/>
          </w:tcPr>
          <w:p w14:paraId="7894546C" w14:textId="77777777" w:rsidR="009C7506" w:rsidRDefault="008B3AB3">
            <w:pPr>
              <w:spacing w:after="0" w:line="259" w:lineRule="auto"/>
              <w:ind w:left="0" w:right="0" w:firstLine="0"/>
              <w:jc w:val="center"/>
            </w:pPr>
            <w:r>
              <w:t xml:space="preserve">3 </w:t>
            </w:r>
          </w:p>
        </w:tc>
        <w:tc>
          <w:tcPr>
            <w:tcW w:w="1246" w:type="dxa"/>
            <w:tcBorders>
              <w:top w:val="single" w:sz="4" w:space="0" w:color="000000"/>
              <w:left w:val="single" w:sz="4" w:space="0" w:color="000000"/>
              <w:bottom w:val="single" w:sz="4" w:space="0" w:color="000000"/>
              <w:right w:val="single" w:sz="4" w:space="0" w:color="000000"/>
            </w:tcBorders>
            <w:vAlign w:val="center"/>
          </w:tcPr>
          <w:p w14:paraId="6D77A054" w14:textId="77777777" w:rsidR="009C7506" w:rsidRDefault="008B3AB3">
            <w:pPr>
              <w:spacing w:after="0" w:line="259" w:lineRule="auto"/>
              <w:ind w:left="0" w:right="3" w:firstLine="0"/>
              <w:jc w:val="center"/>
            </w:pPr>
            <w:r>
              <w:t xml:space="preserve">60 </w:t>
            </w:r>
          </w:p>
        </w:tc>
        <w:tc>
          <w:tcPr>
            <w:tcW w:w="1246" w:type="dxa"/>
            <w:tcBorders>
              <w:top w:val="single" w:sz="4" w:space="0" w:color="000000"/>
              <w:left w:val="single" w:sz="4" w:space="0" w:color="000000"/>
              <w:bottom w:val="single" w:sz="4" w:space="0" w:color="000000"/>
              <w:right w:val="single" w:sz="4" w:space="0" w:color="000000"/>
            </w:tcBorders>
            <w:vAlign w:val="center"/>
          </w:tcPr>
          <w:p w14:paraId="214EA257" w14:textId="77777777" w:rsidR="009C7506" w:rsidRDefault="008B3AB3">
            <w:pPr>
              <w:spacing w:after="0" w:line="259" w:lineRule="auto"/>
              <w:ind w:left="0" w:right="2" w:firstLine="0"/>
              <w:jc w:val="center"/>
            </w:pPr>
            <w:r>
              <w:t xml:space="preserve">43 </w:t>
            </w:r>
          </w:p>
        </w:tc>
        <w:tc>
          <w:tcPr>
            <w:tcW w:w="1244" w:type="dxa"/>
            <w:tcBorders>
              <w:top w:val="single" w:sz="4" w:space="0" w:color="000000"/>
              <w:left w:val="single" w:sz="4" w:space="0" w:color="000000"/>
              <w:bottom w:val="single" w:sz="4" w:space="0" w:color="000000"/>
              <w:right w:val="single" w:sz="4" w:space="0" w:color="000000"/>
            </w:tcBorders>
            <w:vAlign w:val="center"/>
          </w:tcPr>
          <w:p w14:paraId="60B6A5C4" w14:textId="77777777" w:rsidR="009C7506" w:rsidRDefault="008B3AB3">
            <w:pPr>
              <w:spacing w:after="0" w:line="259" w:lineRule="auto"/>
              <w:ind w:left="0" w:right="4" w:firstLine="0"/>
              <w:jc w:val="center"/>
            </w:pPr>
            <w:r>
              <w:t xml:space="preserve">23 </w:t>
            </w:r>
          </w:p>
        </w:tc>
        <w:tc>
          <w:tcPr>
            <w:tcW w:w="1116" w:type="dxa"/>
            <w:tcBorders>
              <w:top w:val="single" w:sz="4" w:space="0" w:color="000000"/>
              <w:left w:val="single" w:sz="4" w:space="0" w:color="000000"/>
              <w:bottom w:val="single" w:sz="4" w:space="0" w:color="000000"/>
              <w:right w:val="single" w:sz="4" w:space="0" w:color="000000"/>
            </w:tcBorders>
            <w:vAlign w:val="center"/>
          </w:tcPr>
          <w:p w14:paraId="5A0238F4" w14:textId="77777777" w:rsidR="009C7506" w:rsidRDefault="008B3AB3">
            <w:pPr>
              <w:spacing w:after="0" w:line="259" w:lineRule="auto"/>
              <w:ind w:left="0" w:right="2" w:firstLine="0"/>
              <w:jc w:val="center"/>
            </w:pPr>
            <w:r>
              <w:t xml:space="preserve">129 </w:t>
            </w:r>
          </w:p>
        </w:tc>
      </w:tr>
      <w:tr w:rsidR="009C7506" w14:paraId="054B1C41" w14:textId="77777777">
        <w:trPr>
          <w:trHeight w:val="480"/>
        </w:trPr>
        <w:tc>
          <w:tcPr>
            <w:tcW w:w="1370" w:type="dxa"/>
            <w:tcBorders>
              <w:top w:val="single" w:sz="4" w:space="0" w:color="000000"/>
              <w:left w:val="single" w:sz="4" w:space="0" w:color="000000"/>
              <w:bottom w:val="single" w:sz="4" w:space="0" w:color="000000"/>
              <w:right w:val="single" w:sz="4" w:space="0" w:color="000000"/>
            </w:tcBorders>
            <w:vAlign w:val="center"/>
          </w:tcPr>
          <w:p w14:paraId="6882FEC0" w14:textId="77777777" w:rsidR="009C7506" w:rsidRDefault="008B3AB3">
            <w:pPr>
              <w:spacing w:after="0" w:line="259" w:lineRule="auto"/>
              <w:ind w:left="1" w:right="0" w:firstLine="0"/>
              <w:jc w:val="center"/>
            </w:pPr>
            <w:r>
              <w:t xml:space="preserve">Total </w:t>
            </w:r>
          </w:p>
        </w:tc>
        <w:tc>
          <w:tcPr>
            <w:tcW w:w="1054" w:type="dxa"/>
            <w:tcBorders>
              <w:top w:val="single" w:sz="4" w:space="0" w:color="000000"/>
              <w:left w:val="single" w:sz="4" w:space="0" w:color="000000"/>
              <w:bottom w:val="single" w:sz="4" w:space="0" w:color="000000"/>
              <w:right w:val="single" w:sz="4" w:space="0" w:color="000000"/>
            </w:tcBorders>
            <w:vAlign w:val="center"/>
          </w:tcPr>
          <w:p w14:paraId="0473FE2B" w14:textId="77777777" w:rsidR="009C7506" w:rsidRDefault="008B3AB3">
            <w:pPr>
              <w:spacing w:after="0" w:line="259" w:lineRule="auto"/>
              <w:ind w:left="0" w:right="3" w:firstLine="0"/>
              <w:jc w:val="center"/>
            </w:pPr>
            <w:r>
              <w:t xml:space="preserve">1 </w:t>
            </w:r>
          </w:p>
        </w:tc>
        <w:tc>
          <w:tcPr>
            <w:tcW w:w="1248" w:type="dxa"/>
            <w:tcBorders>
              <w:top w:val="single" w:sz="4" w:space="0" w:color="000000"/>
              <w:left w:val="single" w:sz="4" w:space="0" w:color="000000"/>
              <w:bottom w:val="single" w:sz="4" w:space="0" w:color="000000"/>
              <w:right w:val="single" w:sz="4" w:space="0" w:color="000000"/>
            </w:tcBorders>
            <w:vAlign w:val="center"/>
          </w:tcPr>
          <w:p w14:paraId="70EA791B" w14:textId="77777777" w:rsidR="009C7506" w:rsidRDefault="008B3AB3">
            <w:pPr>
              <w:spacing w:after="0" w:line="259" w:lineRule="auto"/>
              <w:ind w:left="0" w:right="0" w:firstLine="0"/>
              <w:jc w:val="center"/>
            </w:pPr>
            <w:r>
              <w:t xml:space="preserve">12 </w:t>
            </w:r>
          </w:p>
        </w:tc>
        <w:tc>
          <w:tcPr>
            <w:tcW w:w="1246" w:type="dxa"/>
            <w:tcBorders>
              <w:top w:val="single" w:sz="4" w:space="0" w:color="000000"/>
              <w:left w:val="single" w:sz="4" w:space="0" w:color="000000"/>
              <w:bottom w:val="single" w:sz="4" w:space="0" w:color="000000"/>
              <w:right w:val="single" w:sz="4" w:space="0" w:color="000000"/>
            </w:tcBorders>
            <w:vAlign w:val="center"/>
          </w:tcPr>
          <w:p w14:paraId="6E34F791" w14:textId="77777777" w:rsidR="009C7506" w:rsidRDefault="008B3AB3">
            <w:pPr>
              <w:spacing w:after="0" w:line="259" w:lineRule="auto"/>
              <w:ind w:left="0" w:right="3" w:firstLine="0"/>
              <w:jc w:val="center"/>
            </w:pPr>
            <w:r>
              <w:t xml:space="preserve">209 </w:t>
            </w:r>
          </w:p>
        </w:tc>
        <w:tc>
          <w:tcPr>
            <w:tcW w:w="1246" w:type="dxa"/>
            <w:tcBorders>
              <w:top w:val="single" w:sz="4" w:space="0" w:color="000000"/>
              <w:left w:val="single" w:sz="4" w:space="0" w:color="000000"/>
              <w:bottom w:val="single" w:sz="4" w:space="0" w:color="000000"/>
              <w:right w:val="single" w:sz="4" w:space="0" w:color="000000"/>
            </w:tcBorders>
            <w:vAlign w:val="center"/>
          </w:tcPr>
          <w:p w14:paraId="010A7223" w14:textId="77777777" w:rsidR="009C7506" w:rsidRDefault="008B3AB3">
            <w:pPr>
              <w:spacing w:after="0" w:line="259" w:lineRule="auto"/>
              <w:ind w:left="0" w:right="2" w:firstLine="0"/>
              <w:jc w:val="center"/>
            </w:pPr>
            <w:r>
              <w:t xml:space="preserve">143 </w:t>
            </w:r>
          </w:p>
        </w:tc>
        <w:tc>
          <w:tcPr>
            <w:tcW w:w="1244" w:type="dxa"/>
            <w:tcBorders>
              <w:top w:val="single" w:sz="4" w:space="0" w:color="000000"/>
              <w:left w:val="single" w:sz="4" w:space="0" w:color="000000"/>
              <w:bottom w:val="single" w:sz="4" w:space="0" w:color="000000"/>
              <w:right w:val="single" w:sz="4" w:space="0" w:color="000000"/>
            </w:tcBorders>
            <w:vAlign w:val="center"/>
          </w:tcPr>
          <w:p w14:paraId="08C950F4" w14:textId="77777777" w:rsidR="009C7506" w:rsidRDefault="008B3AB3">
            <w:pPr>
              <w:spacing w:after="0" w:line="259" w:lineRule="auto"/>
              <w:ind w:left="0" w:right="4" w:firstLine="0"/>
              <w:jc w:val="center"/>
            </w:pPr>
            <w:r>
              <w:t xml:space="preserve">104 </w:t>
            </w:r>
          </w:p>
        </w:tc>
        <w:tc>
          <w:tcPr>
            <w:tcW w:w="1116" w:type="dxa"/>
            <w:tcBorders>
              <w:top w:val="single" w:sz="4" w:space="0" w:color="000000"/>
              <w:left w:val="single" w:sz="4" w:space="0" w:color="000000"/>
              <w:bottom w:val="single" w:sz="4" w:space="0" w:color="000000"/>
              <w:right w:val="single" w:sz="4" w:space="0" w:color="000000"/>
            </w:tcBorders>
            <w:vAlign w:val="center"/>
          </w:tcPr>
          <w:p w14:paraId="2E3368E0" w14:textId="77777777" w:rsidR="009C7506" w:rsidRDefault="008B3AB3">
            <w:pPr>
              <w:spacing w:after="0" w:line="259" w:lineRule="auto"/>
              <w:ind w:left="0" w:right="2" w:firstLine="0"/>
              <w:jc w:val="center"/>
            </w:pPr>
            <w:r>
              <w:t xml:space="preserve">469 </w:t>
            </w:r>
          </w:p>
        </w:tc>
      </w:tr>
      <w:tr w:rsidR="009C7506" w14:paraId="6C683F2F" w14:textId="77777777">
        <w:trPr>
          <w:trHeight w:val="478"/>
        </w:trPr>
        <w:tc>
          <w:tcPr>
            <w:tcW w:w="1370" w:type="dxa"/>
            <w:tcBorders>
              <w:top w:val="single" w:sz="4" w:space="0" w:color="000000"/>
              <w:left w:val="single" w:sz="4" w:space="0" w:color="000000"/>
              <w:bottom w:val="single" w:sz="4" w:space="0" w:color="000000"/>
              <w:right w:val="single" w:sz="4" w:space="0" w:color="000000"/>
            </w:tcBorders>
            <w:vAlign w:val="center"/>
          </w:tcPr>
          <w:p w14:paraId="2D878E4B" w14:textId="77777777" w:rsidR="009C7506" w:rsidRDefault="008B3AB3">
            <w:pPr>
              <w:spacing w:after="0" w:line="259" w:lineRule="auto"/>
              <w:ind w:left="0" w:right="1" w:firstLine="0"/>
              <w:jc w:val="center"/>
            </w:pPr>
            <w:r>
              <w:t xml:space="preserve">ratio% </w:t>
            </w:r>
          </w:p>
        </w:tc>
        <w:tc>
          <w:tcPr>
            <w:tcW w:w="1054" w:type="dxa"/>
            <w:tcBorders>
              <w:top w:val="single" w:sz="4" w:space="0" w:color="000000"/>
              <w:left w:val="single" w:sz="4" w:space="0" w:color="000000"/>
              <w:bottom w:val="single" w:sz="4" w:space="0" w:color="000000"/>
              <w:right w:val="single" w:sz="4" w:space="0" w:color="000000"/>
            </w:tcBorders>
            <w:vAlign w:val="center"/>
          </w:tcPr>
          <w:p w14:paraId="446A9692" w14:textId="77777777" w:rsidR="009C7506" w:rsidRDefault="008B3AB3">
            <w:pPr>
              <w:spacing w:after="0" w:line="259" w:lineRule="auto"/>
              <w:ind w:left="0" w:right="1" w:firstLine="0"/>
              <w:jc w:val="center"/>
            </w:pPr>
            <w:r>
              <w:t xml:space="preserve">0.21 </w:t>
            </w:r>
          </w:p>
        </w:tc>
        <w:tc>
          <w:tcPr>
            <w:tcW w:w="1248" w:type="dxa"/>
            <w:tcBorders>
              <w:top w:val="single" w:sz="4" w:space="0" w:color="000000"/>
              <w:left w:val="single" w:sz="4" w:space="0" w:color="000000"/>
              <w:bottom w:val="single" w:sz="4" w:space="0" w:color="000000"/>
              <w:right w:val="single" w:sz="4" w:space="0" w:color="000000"/>
            </w:tcBorders>
            <w:vAlign w:val="center"/>
          </w:tcPr>
          <w:p w14:paraId="481F2D87" w14:textId="77777777" w:rsidR="009C7506" w:rsidRDefault="008B3AB3">
            <w:pPr>
              <w:spacing w:after="0" w:line="259" w:lineRule="auto"/>
              <w:ind w:left="2" w:right="0" w:firstLine="0"/>
              <w:jc w:val="center"/>
            </w:pPr>
            <w:r>
              <w:t xml:space="preserve">2.56 </w:t>
            </w:r>
          </w:p>
        </w:tc>
        <w:tc>
          <w:tcPr>
            <w:tcW w:w="1246" w:type="dxa"/>
            <w:tcBorders>
              <w:top w:val="single" w:sz="4" w:space="0" w:color="000000"/>
              <w:left w:val="single" w:sz="4" w:space="0" w:color="000000"/>
              <w:bottom w:val="single" w:sz="4" w:space="0" w:color="000000"/>
              <w:right w:val="single" w:sz="4" w:space="0" w:color="000000"/>
            </w:tcBorders>
            <w:vAlign w:val="center"/>
          </w:tcPr>
          <w:p w14:paraId="6F2264F7" w14:textId="77777777" w:rsidR="009C7506" w:rsidRDefault="008B3AB3">
            <w:pPr>
              <w:spacing w:after="0" w:line="259" w:lineRule="auto"/>
              <w:ind w:left="0" w:right="0" w:firstLine="0"/>
              <w:jc w:val="center"/>
            </w:pPr>
            <w:r>
              <w:t xml:space="preserve">44.56 </w:t>
            </w:r>
          </w:p>
        </w:tc>
        <w:tc>
          <w:tcPr>
            <w:tcW w:w="1246" w:type="dxa"/>
            <w:tcBorders>
              <w:top w:val="single" w:sz="4" w:space="0" w:color="000000"/>
              <w:left w:val="single" w:sz="4" w:space="0" w:color="000000"/>
              <w:bottom w:val="single" w:sz="4" w:space="0" w:color="000000"/>
              <w:right w:val="single" w:sz="4" w:space="0" w:color="000000"/>
            </w:tcBorders>
            <w:vAlign w:val="center"/>
          </w:tcPr>
          <w:p w14:paraId="1588382B" w14:textId="77777777" w:rsidR="009C7506" w:rsidRDefault="008B3AB3">
            <w:pPr>
              <w:spacing w:after="0" w:line="259" w:lineRule="auto"/>
              <w:ind w:left="0" w:right="0" w:firstLine="0"/>
              <w:jc w:val="center"/>
            </w:pPr>
            <w:r>
              <w:t xml:space="preserve">30.49 </w:t>
            </w:r>
          </w:p>
        </w:tc>
        <w:tc>
          <w:tcPr>
            <w:tcW w:w="1244" w:type="dxa"/>
            <w:tcBorders>
              <w:top w:val="single" w:sz="4" w:space="0" w:color="000000"/>
              <w:left w:val="single" w:sz="4" w:space="0" w:color="000000"/>
              <w:bottom w:val="single" w:sz="4" w:space="0" w:color="000000"/>
              <w:right w:val="single" w:sz="4" w:space="0" w:color="000000"/>
            </w:tcBorders>
            <w:vAlign w:val="center"/>
          </w:tcPr>
          <w:p w14:paraId="25DF7468" w14:textId="77777777" w:rsidR="009C7506" w:rsidRDefault="008B3AB3">
            <w:pPr>
              <w:spacing w:after="0" w:line="259" w:lineRule="auto"/>
              <w:ind w:left="0" w:right="3" w:firstLine="0"/>
              <w:jc w:val="center"/>
            </w:pPr>
            <w:r>
              <w:t xml:space="preserve">22.17 </w:t>
            </w:r>
          </w:p>
        </w:tc>
        <w:tc>
          <w:tcPr>
            <w:tcW w:w="1116" w:type="dxa"/>
            <w:tcBorders>
              <w:top w:val="single" w:sz="4" w:space="0" w:color="000000"/>
              <w:left w:val="single" w:sz="4" w:space="0" w:color="000000"/>
              <w:bottom w:val="single" w:sz="4" w:space="0" w:color="000000"/>
              <w:right w:val="single" w:sz="4" w:space="0" w:color="000000"/>
            </w:tcBorders>
            <w:vAlign w:val="center"/>
          </w:tcPr>
          <w:p w14:paraId="088188C2" w14:textId="77777777" w:rsidR="009C7506" w:rsidRDefault="008B3AB3">
            <w:pPr>
              <w:spacing w:after="0" w:line="259" w:lineRule="auto"/>
              <w:ind w:left="0" w:right="2" w:firstLine="0"/>
              <w:jc w:val="center"/>
            </w:pPr>
            <w:r>
              <w:t xml:space="preserve">100 </w:t>
            </w:r>
          </w:p>
        </w:tc>
      </w:tr>
    </w:tbl>
    <w:p w14:paraId="764CDD91" w14:textId="77777777" w:rsidR="009C7506" w:rsidRDefault="008B3AB3">
      <w:pPr>
        <w:ind w:left="21" w:right="45"/>
      </w:pPr>
      <w:r>
        <w:t xml:space="preserve">Data source: RESSET financial database. </w:t>
      </w:r>
    </w:p>
    <w:p w14:paraId="7DDCE84D" w14:textId="77777777" w:rsidR="009C7506" w:rsidRDefault="008B3AB3">
      <w:pPr>
        <w:spacing w:after="233" w:line="259" w:lineRule="auto"/>
        <w:ind w:left="0" w:right="0" w:firstLine="0"/>
        <w:jc w:val="left"/>
      </w:pPr>
      <w:r>
        <w:rPr>
          <w:sz w:val="21"/>
        </w:rPr>
        <w:t xml:space="preserve"> </w:t>
      </w:r>
    </w:p>
    <w:p w14:paraId="1EC8D014" w14:textId="77777777" w:rsidR="009C7506" w:rsidRDefault="008B3AB3">
      <w:pPr>
        <w:pStyle w:val="Heading1"/>
        <w:ind w:left="370" w:right="419"/>
      </w:pPr>
      <w:r>
        <w:t xml:space="preserve">5. Empirical analysis and the results </w:t>
      </w:r>
    </w:p>
    <w:p w14:paraId="18E35DB8" w14:textId="77777777" w:rsidR="009C7506" w:rsidRDefault="008B3AB3">
      <w:pPr>
        <w:spacing w:after="53" w:line="259" w:lineRule="auto"/>
        <w:ind w:left="0" w:right="0" w:firstLine="0"/>
        <w:jc w:val="left"/>
      </w:pPr>
      <w:r>
        <w:rPr>
          <w:b/>
          <w:sz w:val="21"/>
        </w:rPr>
        <w:t xml:space="preserve"> </w:t>
      </w:r>
    </w:p>
    <w:p w14:paraId="658F1623" w14:textId="77777777" w:rsidR="009C7506" w:rsidRDefault="008B3AB3">
      <w:pPr>
        <w:pStyle w:val="Heading2"/>
        <w:ind w:left="-5" w:right="41"/>
      </w:pPr>
      <w:r>
        <w:t xml:space="preserve">5.1 Empirical results from 2008 to 2013 </w:t>
      </w:r>
    </w:p>
    <w:p w14:paraId="3D5122B1" w14:textId="77777777" w:rsidR="009C7506" w:rsidRDefault="008B3AB3">
      <w:pPr>
        <w:spacing w:after="36" w:line="259" w:lineRule="auto"/>
        <w:ind w:left="0" w:right="0" w:firstLine="0"/>
        <w:jc w:val="left"/>
      </w:pPr>
      <w:r>
        <w:t xml:space="preserve"> </w:t>
      </w:r>
    </w:p>
    <w:p w14:paraId="6CACC24E" w14:textId="77777777" w:rsidR="009C7506" w:rsidRDefault="008B3AB3">
      <w:pPr>
        <w:ind w:left="21" w:right="45"/>
      </w:pPr>
      <w:r>
        <w:t>Due to the frequent bond default events, many literatures show that expectations of “implicit guarantee” and "rigid payment" have been broken, and the corporate bond market</w:t>
      </w:r>
      <w:r>
        <w:t xml:space="preserve"> has been gradually marketization. Other literatures believe that the market participants remain holding the "rigid payment" expectations and the corporate bond market is still far away from marketization. </w:t>
      </w:r>
    </w:p>
    <w:p w14:paraId="3AA71AA7" w14:textId="77777777" w:rsidR="009C7506" w:rsidRDefault="008B3AB3">
      <w:pPr>
        <w:spacing w:after="36" w:line="259" w:lineRule="auto"/>
        <w:ind w:left="0" w:right="0" w:firstLine="0"/>
        <w:jc w:val="left"/>
      </w:pPr>
      <w:r>
        <w:t xml:space="preserve">  </w:t>
      </w:r>
    </w:p>
    <w:p w14:paraId="37B65D4C" w14:textId="77777777" w:rsidR="009C7506" w:rsidRDefault="008B3AB3">
      <w:pPr>
        <w:ind w:left="21" w:right="45"/>
      </w:pPr>
      <w:r>
        <w:t>For this reason, we select the outbreak of bond defaults in 2014 as the time point and divide the samples into two groups: 2008 to 2013 samples and 2014 to 2015 samples. We study the heterogeneous reactions of the investors and the rating agencies under th</w:t>
      </w:r>
      <w:r>
        <w:t xml:space="preserve">e weakening of the government intervention. </w:t>
      </w:r>
    </w:p>
    <w:p w14:paraId="6A260446" w14:textId="77777777" w:rsidR="009C7506" w:rsidRDefault="008B3AB3">
      <w:pPr>
        <w:spacing w:after="36" w:line="259" w:lineRule="auto"/>
        <w:ind w:left="0" w:right="0" w:firstLine="0"/>
        <w:jc w:val="left"/>
      </w:pPr>
      <w:r>
        <w:t xml:space="preserve"> </w:t>
      </w:r>
    </w:p>
    <w:p w14:paraId="4F7EDF33" w14:textId="77777777" w:rsidR="009C7506" w:rsidRDefault="008B3AB3">
      <w:pPr>
        <w:ind w:left="21" w:right="45"/>
      </w:pPr>
      <w:r>
        <w:t>Firstly, we study the influence of the "implicit guarantee" factors on the credit spread to verify our hypothesis 1-4. In regression 1, the dependent variable is the credit spread. We only introduce the issuer</w:t>
      </w:r>
      <w:r>
        <w:t xml:space="preserve">s’ ownership-SOE and the reputation of underwriters- UNDRR as two proxy variables to measure the implicit guarantee factors. The empirical results are shown in Table 7. </w:t>
      </w:r>
    </w:p>
    <w:p w14:paraId="51458556" w14:textId="77777777" w:rsidR="009C7506" w:rsidRDefault="008B3AB3">
      <w:pPr>
        <w:spacing w:after="36" w:line="259" w:lineRule="auto"/>
        <w:ind w:left="0" w:right="0" w:firstLine="0"/>
        <w:jc w:val="left"/>
      </w:pPr>
      <w:r>
        <w:t xml:space="preserve"> </w:t>
      </w:r>
    </w:p>
    <w:p w14:paraId="73191DF7" w14:textId="77777777" w:rsidR="009C7506" w:rsidRDefault="008B3AB3">
      <w:pPr>
        <w:ind w:left="21" w:right="45"/>
      </w:pPr>
      <w:r>
        <w:t>For the 2008-2013’s regression, the results show that the ownership property signifi</w:t>
      </w:r>
      <w:r>
        <w:t>cantly influences the spread which indicates that the state-owned property is regarded as "implicit guarantee" by investors. Correspondingly, non-state-owned enterprises need to provide higher risk premium as compensation. However, the reputation of the le</w:t>
      </w:r>
      <w:r>
        <w:t xml:space="preserve">ading underwriters does not significantly affect the credit spread. Looking back to the economic situation between 2008 and 2013, the corporate bond market was at the initial stage and was controlled by government force. Because of the strong intervention </w:t>
      </w:r>
      <w:r>
        <w:t>by the government, there are no default happened. The investors in this stage were risk neutral and the bond spread does not reflect the true risk premium. State-owned corporate bonds, which were highly demanded, did not need to offer high interest rates t</w:t>
      </w:r>
      <w:r>
        <w:t xml:space="preserve">o attract investors. While private enterprises actively raised interest rates to attract investors in order to issue bonds successfully. </w:t>
      </w:r>
    </w:p>
    <w:p w14:paraId="259F71E3" w14:textId="77777777" w:rsidR="009C7506" w:rsidRDefault="008B3AB3">
      <w:pPr>
        <w:spacing w:after="36" w:line="259" w:lineRule="auto"/>
        <w:ind w:left="0" w:right="0" w:firstLine="0"/>
        <w:jc w:val="left"/>
      </w:pPr>
      <w:r>
        <w:lastRenderedPageBreak/>
        <w:t xml:space="preserve"> </w:t>
      </w:r>
    </w:p>
    <w:p w14:paraId="70E0CD54" w14:textId="77777777" w:rsidR="009C7506" w:rsidRDefault="008B3AB3">
      <w:pPr>
        <w:ind w:left="21" w:right="45"/>
      </w:pPr>
      <w:r>
        <w:t xml:space="preserve">On the basis of regression 1, we introduce the ownership ” SOE”, the leading underwriter’s reputation” UNDRR” , the </w:t>
      </w:r>
      <w:r>
        <w:t>loan-to-deposits ratio “LTD” and local GDP as more generalized factors of "implicit guarantee" which is the regression 3. We believe that investors will consider the local economic conditions when they assess the "implicit guarantee" of the corporate bonds</w:t>
      </w:r>
      <w:r>
        <w:t>. The GDP reflects the local government's ability to help local listed companies redeem. And the loan-to-deposit ratio reflects the activity of local financial markets which reflects the companies’ ability to finance themselves through non-debt channels. T</w:t>
      </w:r>
      <w:r>
        <w:t>he two indicators measure the ability of companies to obtain the financial support from related stakeholders and the investors have stronger expectations of "implicit guarantee" on these attributes and feel safer about their investment so that they require</w:t>
      </w:r>
      <w:r>
        <w:t xml:space="preserve"> lower return. </w:t>
      </w:r>
    </w:p>
    <w:p w14:paraId="7B3214BC" w14:textId="77777777" w:rsidR="009C7506" w:rsidRDefault="008B3AB3">
      <w:pPr>
        <w:spacing w:after="36" w:line="259" w:lineRule="auto"/>
        <w:ind w:left="0" w:right="0" w:firstLine="0"/>
        <w:jc w:val="left"/>
      </w:pPr>
      <w:r>
        <w:t xml:space="preserve"> </w:t>
      </w:r>
    </w:p>
    <w:p w14:paraId="4B526F00" w14:textId="77777777" w:rsidR="009C7506" w:rsidRDefault="008B3AB3">
      <w:pPr>
        <w:ind w:left="21" w:right="45"/>
      </w:pPr>
      <w:r>
        <w:t>The results of regression 3 show that the sign and significance of the leading underwriters have not changed. Although not significant, the local loan-to-deposit ratio has a negative effect on the spread which confirms our predicts. Howev</w:t>
      </w:r>
      <w:r>
        <w:t xml:space="preserve">er, the GDP has a opposite direction and the the result is not significant. That it verifies the fact that the investors has little risk awareness in corporate bond market until 2014 due to the strong government intervention. </w:t>
      </w:r>
    </w:p>
    <w:p w14:paraId="347932D6" w14:textId="77777777" w:rsidR="009C7506" w:rsidRDefault="008B3AB3">
      <w:pPr>
        <w:spacing w:after="36" w:line="259" w:lineRule="auto"/>
        <w:ind w:left="0" w:right="0" w:firstLine="0"/>
        <w:jc w:val="left"/>
      </w:pPr>
      <w:r>
        <w:t xml:space="preserve"> </w:t>
      </w:r>
    </w:p>
    <w:p w14:paraId="289FFB6F" w14:textId="77777777" w:rsidR="009C7506" w:rsidRDefault="008B3AB3">
      <w:pPr>
        <w:ind w:left="21" w:right="45"/>
      </w:pPr>
      <w:r>
        <w:t>Secondly, we studies the in</w:t>
      </w:r>
      <w:r>
        <w:t>fluence of the "implicit guarantee" factors on bond ratings. The dependent variable are the rating results “creditrating”. Regression 2 shows that both the issuers’ property and the reputation and the strength of the leading underwriters have significant i</w:t>
      </w:r>
      <w:r>
        <w:t>nfluence on the rating. In other words, state-owned issuers and the underwriters with strong strength will significantly improve the ratings. The results show the consistent "implicit guarantee" expectations with the investors which ratings agencies also g</w:t>
      </w:r>
      <w:r>
        <w:t>ive high ratings to the bonds that may be supported by local governments and the leading underwriters. On the one hand, no bond default means that the cost of the ratings failures was very low. The "issuer's pay" mode intrigues agencies to give inflated ra</w:t>
      </w:r>
      <w:r>
        <w:t xml:space="preserve">tings to attract more business. On the other hand, higher ratings can help issuers and underwriters expand their bonds’ investors and be issued successfully. The issuers and underwriters have incentives to persuade ratings agencies to give higher ratings. </w:t>
      </w:r>
      <w:r>
        <w:t xml:space="preserve">Combining the above two reasons, we can see that the results reflected the fact that stronger issuers and underwriters have significantly enhanced the credit level. Furthermore, the local loan-to-deposit ratio and local GDP are added to the model, such as </w:t>
      </w:r>
      <w:r>
        <w:t>regression 4. The results show that the rating agencies are still significantly influenced by the property of issuers and the reputation and the strength of the underwriters. However, the loan-to-deposit ratio has the wrong direction and is not significant</w:t>
      </w:r>
      <w:r>
        <w:t xml:space="preserve">. It is worth noting that, the GDP is highly significant with the correct direction as our expectation. Therefore, our key variables are robust and the rating agencies are also concerned about the impacts of the local economic conditions. </w:t>
      </w:r>
    </w:p>
    <w:p w14:paraId="1C7D93F0" w14:textId="77777777" w:rsidR="009C7506" w:rsidRDefault="008B3AB3">
      <w:pPr>
        <w:spacing w:after="36" w:line="259" w:lineRule="auto"/>
        <w:ind w:left="0" w:right="0" w:firstLine="0"/>
        <w:jc w:val="left"/>
      </w:pPr>
      <w:r>
        <w:t xml:space="preserve"> </w:t>
      </w:r>
    </w:p>
    <w:p w14:paraId="18A12406" w14:textId="77777777" w:rsidR="009C7506" w:rsidRDefault="008B3AB3">
      <w:pPr>
        <w:ind w:left="21" w:right="45"/>
      </w:pPr>
      <w:r>
        <w:t xml:space="preserve">To sum up the </w:t>
      </w:r>
      <w:r>
        <w:t>empirical results of this phase, the hypotheses of the stage 2008-2013 in hypotheses 1-4 are verified. Before the outbreak of the default event in 2014, the investors and the rating agencies gave state-owned enterprises lower spreads and higher ratings. Th</w:t>
      </w:r>
      <w:r>
        <w:t xml:space="preserve">e reputation of the leading underwriter did not significantly affect the credit spreads but </w:t>
      </w:r>
      <w:r>
        <w:lastRenderedPageBreak/>
        <w:t>significantly affected the ratings. Under strong government intervention, both the investors and the rating agencies have the consistent expectations towards state-</w:t>
      </w:r>
      <w:r>
        <w:t xml:space="preserve">owned enterprises as </w:t>
      </w:r>
    </w:p>
    <w:p w14:paraId="78EFB8BE" w14:textId="77777777" w:rsidR="009C7506" w:rsidRDefault="008B3AB3">
      <w:pPr>
        <w:ind w:left="21" w:right="45"/>
      </w:pPr>
      <w:r>
        <w:t>"implicit guarantee". The underwriter effect was dominated by the ownership effect from the investor's perspective so that they did consider the underwriter’s reputation and strength. While, the rating agencies were persuaded by issue</w:t>
      </w:r>
      <w:r>
        <w:t xml:space="preserve">rs and the leading underwriters for the sake of profits with low cost of rating failures. Besides, the possibility of local government’s rescue and local economic conditions also have significant impacts on the credit rating results. </w:t>
      </w:r>
    </w:p>
    <w:p w14:paraId="1F8F4491" w14:textId="77777777" w:rsidR="009C7506" w:rsidRDefault="008B3AB3">
      <w:pPr>
        <w:spacing w:after="41" w:line="259" w:lineRule="auto"/>
        <w:ind w:left="0" w:right="0" w:firstLine="0"/>
        <w:jc w:val="left"/>
      </w:pPr>
      <w:r>
        <w:t xml:space="preserve"> </w:t>
      </w:r>
    </w:p>
    <w:p w14:paraId="564625BF" w14:textId="77777777" w:rsidR="009C7506" w:rsidRDefault="008B3AB3">
      <w:pPr>
        <w:pStyle w:val="Heading2"/>
        <w:spacing w:after="3"/>
        <w:ind w:right="58"/>
        <w:jc w:val="center"/>
      </w:pPr>
      <w:r>
        <w:t>Table 7 empirical r</w:t>
      </w:r>
      <w:r>
        <w:t xml:space="preserve">esults from 2008 to 2013 </w:t>
      </w:r>
    </w:p>
    <w:tbl>
      <w:tblPr>
        <w:tblStyle w:val="TableGrid"/>
        <w:tblW w:w="8524" w:type="dxa"/>
        <w:tblInd w:w="-108" w:type="dxa"/>
        <w:tblCellMar>
          <w:top w:w="0" w:type="dxa"/>
          <w:left w:w="115" w:type="dxa"/>
          <w:bottom w:w="0" w:type="dxa"/>
          <w:right w:w="108" w:type="dxa"/>
        </w:tblCellMar>
        <w:tblLook w:val="04A0" w:firstRow="1" w:lastRow="0" w:firstColumn="1" w:lastColumn="0" w:noHBand="0" w:noVBand="1"/>
      </w:tblPr>
      <w:tblGrid>
        <w:gridCol w:w="1497"/>
        <w:gridCol w:w="1587"/>
        <w:gridCol w:w="1808"/>
        <w:gridCol w:w="1825"/>
        <w:gridCol w:w="1807"/>
      </w:tblGrid>
      <w:tr w:rsidR="009C7506" w14:paraId="7A931577"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5C22FDA1" w14:textId="77777777" w:rsidR="009C7506" w:rsidRDefault="008B3AB3">
            <w:pPr>
              <w:spacing w:after="0" w:line="259" w:lineRule="auto"/>
              <w:ind w:left="5" w:right="0" w:firstLine="0"/>
              <w:jc w:val="center"/>
            </w:pPr>
            <w: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4569033F" w14:textId="77777777" w:rsidR="009C7506" w:rsidRDefault="008B3AB3">
            <w:pPr>
              <w:spacing w:after="0" w:line="259" w:lineRule="auto"/>
              <w:ind w:left="0" w:right="53" w:firstLine="0"/>
              <w:jc w:val="center"/>
            </w:pPr>
            <w:r>
              <w:t xml:space="preserve">(1) </w:t>
            </w:r>
          </w:p>
        </w:tc>
        <w:tc>
          <w:tcPr>
            <w:tcW w:w="1808" w:type="dxa"/>
            <w:tcBorders>
              <w:top w:val="single" w:sz="4" w:space="0" w:color="000000"/>
              <w:left w:val="single" w:sz="4" w:space="0" w:color="000000"/>
              <w:bottom w:val="single" w:sz="4" w:space="0" w:color="000000"/>
              <w:right w:val="single" w:sz="4" w:space="0" w:color="000000"/>
            </w:tcBorders>
            <w:vAlign w:val="center"/>
          </w:tcPr>
          <w:p w14:paraId="68AE6818" w14:textId="77777777" w:rsidR="009C7506" w:rsidRDefault="008B3AB3">
            <w:pPr>
              <w:spacing w:after="0" w:line="259" w:lineRule="auto"/>
              <w:ind w:left="0" w:right="49" w:firstLine="0"/>
              <w:jc w:val="center"/>
            </w:pPr>
            <w:r>
              <w:t xml:space="preserve">(2) </w:t>
            </w:r>
          </w:p>
        </w:tc>
        <w:tc>
          <w:tcPr>
            <w:tcW w:w="1825" w:type="dxa"/>
            <w:tcBorders>
              <w:top w:val="single" w:sz="4" w:space="0" w:color="000000"/>
              <w:left w:val="single" w:sz="4" w:space="0" w:color="000000"/>
              <w:bottom w:val="single" w:sz="4" w:space="0" w:color="000000"/>
              <w:right w:val="single" w:sz="4" w:space="0" w:color="000000"/>
            </w:tcBorders>
            <w:vAlign w:val="center"/>
          </w:tcPr>
          <w:p w14:paraId="05DC4341" w14:textId="77777777" w:rsidR="009C7506" w:rsidRDefault="008B3AB3">
            <w:pPr>
              <w:spacing w:after="0" w:line="259" w:lineRule="auto"/>
              <w:ind w:left="0" w:right="52" w:firstLine="0"/>
              <w:jc w:val="center"/>
            </w:pPr>
            <w:r>
              <w:t xml:space="preserve">(3) </w:t>
            </w:r>
          </w:p>
        </w:tc>
        <w:tc>
          <w:tcPr>
            <w:tcW w:w="1807" w:type="dxa"/>
            <w:tcBorders>
              <w:top w:val="single" w:sz="4" w:space="0" w:color="000000"/>
              <w:left w:val="single" w:sz="4" w:space="0" w:color="000000"/>
              <w:bottom w:val="single" w:sz="4" w:space="0" w:color="000000"/>
              <w:right w:val="single" w:sz="4" w:space="0" w:color="000000"/>
            </w:tcBorders>
            <w:vAlign w:val="center"/>
          </w:tcPr>
          <w:p w14:paraId="6E0CC29E" w14:textId="77777777" w:rsidR="009C7506" w:rsidRDefault="008B3AB3">
            <w:pPr>
              <w:spacing w:after="0" w:line="259" w:lineRule="auto"/>
              <w:ind w:left="0" w:right="49" w:firstLine="0"/>
              <w:jc w:val="center"/>
            </w:pPr>
            <w:r>
              <w:t xml:space="preserve">(4) </w:t>
            </w:r>
          </w:p>
        </w:tc>
      </w:tr>
      <w:tr w:rsidR="009C7506" w14:paraId="7816CB62" w14:textId="77777777">
        <w:trPr>
          <w:trHeight w:val="478"/>
        </w:trPr>
        <w:tc>
          <w:tcPr>
            <w:tcW w:w="0" w:type="auto"/>
            <w:vMerge/>
            <w:tcBorders>
              <w:top w:val="nil"/>
              <w:left w:val="single" w:sz="4" w:space="0" w:color="000000"/>
              <w:bottom w:val="nil"/>
              <w:right w:val="single" w:sz="4" w:space="0" w:color="000000"/>
            </w:tcBorders>
          </w:tcPr>
          <w:p w14:paraId="77AB6FFC"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06F41D32" w14:textId="77777777" w:rsidR="009C7506" w:rsidRDefault="008B3AB3">
            <w:pPr>
              <w:spacing w:after="0" w:line="259" w:lineRule="auto"/>
              <w:ind w:left="0" w:firstLine="0"/>
              <w:jc w:val="center"/>
            </w:pPr>
            <w:r>
              <w:t xml:space="preserve">OLS </w:t>
            </w:r>
          </w:p>
        </w:tc>
        <w:tc>
          <w:tcPr>
            <w:tcW w:w="1808" w:type="dxa"/>
            <w:tcBorders>
              <w:top w:val="single" w:sz="4" w:space="0" w:color="000000"/>
              <w:left w:val="single" w:sz="4" w:space="0" w:color="000000"/>
              <w:bottom w:val="single" w:sz="4" w:space="0" w:color="000000"/>
              <w:right w:val="single" w:sz="4" w:space="0" w:color="000000"/>
            </w:tcBorders>
            <w:vAlign w:val="center"/>
          </w:tcPr>
          <w:p w14:paraId="5E10CA60" w14:textId="77777777" w:rsidR="009C7506" w:rsidRDefault="008B3AB3">
            <w:pPr>
              <w:spacing w:after="0" w:line="259" w:lineRule="auto"/>
              <w:ind w:left="0" w:right="50" w:firstLine="0"/>
              <w:jc w:val="center"/>
            </w:pPr>
            <w:r>
              <w:t xml:space="preserve">OLS </w:t>
            </w:r>
          </w:p>
        </w:tc>
        <w:tc>
          <w:tcPr>
            <w:tcW w:w="1825" w:type="dxa"/>
            <w:tcBorders>
              <w:top w:val="single" w:sz="4" w:space="0" w:color="000000"/>
              <w:left w:val="single" w:sz="4" w:space="0" w:color="000000"/>
              <w:bottom w:val="single" w:sz="4" w:space="0" w:color="000000"/>
              <w:right w:val="single" w:sz="4" w:space="0" w:color="000000"/>
            </w:tcBorders>
            <w:vAlign w:val="center"/>
          </w:tcPr>
          <w:p w14:paraId="45309C17" w14:textId="77777777" w:rsidR="009C7506" w:rsidRDefault="008B3AB3">
            <w:pPr>
              <w:spacing w:after="0" w:line="259" w:lineRule="auto"/>
              <w:ind w:left="0" w:right="53" w:firstLine="0"/>
              <w:jc w:val="center"/>
            </w:pPr>
            <w:r>
              <w:t xml:space="preserve">OLS </w:t>
            </w:r>
          </w:p>
        </w:tc>
        <w:tc>
          <w:tcPr>
            <w:tcW w:w="1807" w:type="dxa"/>
            <w:tcBorders>
              <w:top w:val="single" w:sz="4" w:space="0" w:color="000000"/>
              <w:left w:val="single" w:sz="4" w:space="0" w:color="000000"/>
              <w:bottom w:val="single" w:sz="4" w:space="0" w:color="000000"/>
              <w:right w:val="single" w:sz="4" w:space="0" w:color="000000"/>
            </w:tcBorders>
            <w:vAlign w:val="center"/>
          </w:tcPr>
          <w:p w14:paraId="74E108AD" w14:textId="77777777" w:rsidR="009C7506" w:rsidRDefault="008B3AB3">
            <w:pPr>
              <w:spacing w:after="0" w:line="259" w:lineRule="auto"/>
              <w:ind w:left="0" w:right="50" w:firstLine="0"/>
              <w:jc w:val="center"/>
            </w:pPr>
            <w:r>
              <w:t xml:space="preserve">OLS </w:t>
            </w:r>
          </w:p>
        </w:tc>
      </w:tr>
      <w:tr w:rsidR="009C7506" w14:paraId="10E4CFA5" w14:textId="77777777">
        <w:trPr>
          <w:trHeight w:val="478"/>
        </w:trPr>
        <w:tc>
          <w:tcPr>
            <w:tcW w:w="0" w:type="auto"/>
            <w:vMerge/>
            <w:tcBorders>
              <w:top w:val="nil"/>
              <w:left w:val="single" w:sz="4" w:space="0" w:color="000000"/>
              <w:bottom w:val="single" w:sz="4" w:space="0" w:color="000000"/>
              <w:right w:val="single" w:sz="4" w:space="0" w:color="000000"/>
            </w:tcBorders>
          </w:tcPr>
          <w:p w14:paraId="1D85563B"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1F49D101" w14:textId="77777777" w:rsidR="009C7506" w:rsidRDefault="008B3AB3">
            <w:pPr>
              <w:spacing w:after="0" w:line="259" w:lineRule="auto"/>
              <w:ind w:left="0" w:right="0" w:firstLine="0"/>
              <w:jc w:val="left"/>
            </w:pPr>
            <w:r>
              <w:t xml:space="preserve">Credit spreads </w:t>
            </w:r>
          </w:p>
        </w:tc>
        <w:tc>
          <w:tcPr>
            <w:tcW w:w="1808" w:type="dxa"/>
            <w:tcBorders>
              <w:top w:val="single" w:sz="4" w:space="0" w:color="000000"/>
              <w:left w:val="single" w:sz="4" w:space="0" w:color="000000"/>
              <w:bottom w:val="single" w:sz="4" w:space="0" w:color="000000"/>
              <w:right w:val="single" w:sz="4" w:space="0" w:color="000000"/>
            </w:tcBorders>
            <w:vAlign w:val="center"/>
          </w:tcPr>
          <w:p w14:paraId="6DE3D659" w14:textId="77777777" w:rsidR="009C7506" w:rsidRDefault="008B3AB3">
            <w:pPr>
              <w:spacing w:after="0" w:line="259" w:lineRule="auto"/>
              <w:ind w:left="0" w:right="51" w:firstLine="0"/>
              <w:jc w:val="center"/>
            </w:pPr>
            <w:r>
              <w:t xml:space="preserve">Credit rating </w:t>
            </w:r>
          </w:p>
        </w:tc>
        <w:tc>
          <w:tcPr>
            <w:tcW w:w="1825" w:type="dxa"/>
            <w:tcBorders>
              <w:top w:val="single" w:sz="4" w:space="0" w:color="000000"/>
              <w:left w:val="single" w:sz="4" w:space="0" w:color="000000"/>
              <w:bottom w:val="single" w:sz="4" w:space="0" w:color="000000"/>
              <w:right w:val="single" w:sz="4" w:space="0" w:color="000000"/>
            </w:tcBorders>
            <w:vAlign w:val="center"/>
          </w:tcPr>
          <w:p w14:paraId="58A2FD01" w14:textId="77777777" w:rsidR="009C7506" w:rsidRDefault="008B3AB3">
            <w:pPr>
              <w:spacing w:after="0" w:line="259" w:lineRule="auto"/>
              <w:ind w:left="0" w:right="53" w:firstLine="0"/>
              <w:jc w:val="center"/>
            </w:pPr>
            <w:r>
              <w:t xml:space="preserve">Credit spreads </w:t>
            </w:r>
          </w:p>
        </w:tc>
        <w:tc>
          <w:tcPr>
            <w:tcW w:w="1807" w:type="dxa"/>
            <w:tcBorders>
              <w:top w:val="single" w:sz="4" w:space="0" w:color="000000"/>
              <w:left w:val="single" w:sz="4" w:space="0" w:color="000000"/>
              <w:bottom w:val="single" w:sz="4" w:space="0" w:color="000000"/>
              <w:right w:val="single" w:sz="4" w:space="0" w:color="000000"/>
            </w:tcBorders>
            <w:vAlign w:val="center"/>
          </w:tcPr>
          <w:p w14:paraId="7FD1061F" w14:textId="77777777" w:rsidR="009C7506" w:rsidRDefault="008B3AB3">
            <w:pPr>
              <w:spacing w:after="0" w:line="259" w:lineRule="auto"/>
              <w:ind w:left="0" w:right="51" w:firstLine="0"/>
              <w:jc w:val="center"/>
            </w:pPr>
            <w:r>
              <w:t xml:space="preserve">Credit rating </w:t>
            </w:r>
          </w:p>
        </w:tc>
      </w:tr>
      <w:tr w:rsidR="009C7506" w14:paraId="69AD1710" w14:textId="77777777">
        <w:trPr>
          <w:trHeight w:val="481"/>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34FEB480" w14:textId="77777777" w:rsidR="009C7506" w:rsidRDefault="008B3AB3">
            <w:pPr>
              <w:spacing w:after="0" w:line="259" w:lineRule="auto"/>
              <w:ind w:left="0" w:right="50" w:firstLine="0"/>
              <w:jc w:val="center"/>
            </w:pPr>
            <w:r>
              <w:rPr>
                <w:i/>
              </w:rPr>
              <w:t xml:space="preserve">SOE </w:t>
            </w:r>
          </w:p>
        </w:tc>
        <w:tc>
          <w:tcPr>
            <w:tcW w:w="1587" w:type="dxa"/>
            <w:tcBorders>
              <w:top w:val="single" w:sz="4" w:space="0" w:color="000000"/>
              <w:left w:val="single" w:sz="4" w:space="0" w:color="000000"/>
              <w:bottom w:val="single" w:sz="4" w:space="0" w:color="000000"/>
              <w:right w:val="single" w:sz="4" w:space="0" w:color="000000"/>
            </w:tcBorders>
            <w:vAlign w:val="center"/>
          </w:tcPr>
          <w:p w14:paraId="2A5F57E3" w14:textId="77777777" w:rsidR="009C7506" w:rsidRDefault="008B3AB3">
            <w:pPr>
              <w:spacing w:after="0" w:line="259" w:lineRule="auto"/>
              <w:ind w:left="0" w:right="55" w:firstLine="0"/>
              <w:jc w:val="center"/>
            </w:pPr>
            <w:r>
              <w:t>-0.301</w:t>
            </w:r>
            <w:r>
              <w:rPr>
                <w:vertAlign w:val="superscript"/>
              </w:rPr>
              <w:t>**</w:t>
            </w:r>
            <w:r>
              <w:t xml:space="preserve"> </w:t>
            </w:r>
          </w:p>
        </w:tc>
        <w:tc>
          <w:tcPr>
            <w:tcW w:w="1808" w:type="dxa"/>
            <w:tcBorders>
              <w:top w:val="single" w:sz="4" w:space="0" w:color="000000"/>
              <w:left w:val="single" w:sz="4" w:space="0" w:color="000000"/>
              <w:bottom w:val="single" w:sz="4" w:space="0" w:color="000000"/>
              <w:right w:val="single" w:sz="4" w:space="0" w:color="000000"/>
            </w:tcBorders>
            <w:vAlign w:val="center"/>
          </w:tcPr>
          <w:p w14:paraId="26BB5A96" w14:textId="77777777" w:rsidR="009C7506" w:rsidRDefault="008B3AB3">
            <w:pPr>
              <w:spacing w:after="0" w:line="259" w:lineRule="auto"/>
              <w:ind w:left="0" w:right="53" w:firstLine="0"/>
              <w:jc w:val="center"/>
            </w:pPr>
            <w:r>
              <w:t>0.375</w:t>
            </w:r>
            <w:r>
              <w:rPr>
                <w:vertAlign w:val="superscript"/>
              </w:rPr>
              <w:t>***</w:t>
            </w: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7C8EEC07" w14:textId="77777777" w:rsidR="009C7506" w:rsidRDefault="008B3AB3">
            <w:pPr>
              <w:spacing w:after="0" w:line="259" w:lineRule="auto"/>
              <w:ind w:left="0" w:right="53" w:firstLine="0"/>
              <w:jc w:val="center"/>
            </w:pPr>
            <w:r>
              <w:t>-0.313</w:t>
            </w:r>
            <w:r>
              <w:rPr>
                <w:vertAlign w:val="superscript"/>
              </w:rPr>
              <w:t>**</w:t>
            </w:r>
            <w:r>
              <w:t xml:space="preserve"> </w:t>
            </w:r>
          </w:p>
        </w:tc>
        <w:tc>
          <w:tcPr>
            <w:tcW w:w="1807" w:type="dxa"/>
            <w:tcBorders>
              <w:top w:val="single" w:sz="4" w:space="0" w:color="000000"/>
              <w:left w:val="single" w:sz="4" w:space="0" w:color="000000"/>
              <w:bottom w:val="single" w:sz="4" w:space="0" w:color="000000"/>
              <w:right w:val="single" w:sz="4" w:space="0" w:color="000000"/>
            </w:tcBorders>
            <w:vAlign w:val="center"/>
          </w:tcPr>
          <w:p w14:paraId="1201C9F2" w14:textId="77777777" w:rsidR="009C7506" w:rsidRDefault="008B3AB3">
            <w:pPr>
              <w:spacing w:after="0" w:line="259" w:lineRule="auto"/>
              <w:ind w:left="0" w:right="53" w:firstLine="0"/>
              <w:jc w:val="center"/>
            </w:pPr>
            <w:r>
              <w:t>0.398</w:t>
            </w:r>
            <w:r>
              <w:rPr>
                <w:vertAlign w:val="superscript"/>
              </w:rPr>
              <w:t>***</w:t>
            </w:r>
            <w:r>
              <w:t xml:space="preserve"> </w:t>
            </w:r>
          </w:p>
        </w:tc>
      </w:tr>
      <w:tr w:rsidR="009C7506" w14:paraId="03982500" w14:textId="77777777">
        <w:trPr>
          <w:trHeight w:val="478"/>
        </w:trPr>
        <w:tc>
          <w:tcPr>
            <w:tcW w:w="0" w:type="auto"/>
            <w:vMerge/>
            <w:tcBorders>
              <w:top w:val="nil"/>
              <w:left w:val="single" w:sz="4" w:space="0" w:color="000000"/>
              <w:bottom w:val="single" w:sz="4" w:space="0" w:color="000000"/>
              <w:right w:val="single" w:sz="4" w:space="0" w:color="000000"/>
            </w:tcBorders>
          </w:tcPr>
          <w:p w14:paraId="305AABF6"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2183CC78" w14:textId="77777777" w:rsidR="009C7506" w:rsidRDefault="008B3AB3">
            <w:pPr>
              <w:spacing w:after="0" w:line="259" w:lineRule="auto"/>
              <w:ind w:left="0" w:right="53" w:firstLine="0"/>
              <w:jc w:val="center"/>
            </w:pPr>
            <w:r>
              <w:t xml:space="preserve">(-2.86) </w:t>
            </w:r>
          </w:p>
        </w:tc>
        <w:tc>
          <w:tcPr>
            <w:tcW w:w="1808" w:type="dxa"/>
            <w:tcBorders>
              <w:top w:val="single" w:sz="4" w:space="0" w:color="000000"/>
              <w:left w:val="single" w:sz="4" w:space="0" w:color="000000"/>
              <w:bottom w:val="single" w:sz="4" w:space="0" w:color="000000"/>
              <w:right w:val="single" w:sz="4" w:space="0" w:color="000000"/>
            </w:tcBorders>
            <w:vAlign w:val="center"/>
          </w:tcPr>
          <w:p w14:paraId="5847D1BD" w14:textId="77777777" w:rsidR="009C7506" w:rsidRDefault="008B3AB3">
            <w:pPr>
              <w:spacing w:after="0" w:line="259" w:lineRule="auto"/>
              <w:ind w:left="0" w:right="50" w:firstLine="0"/>
              <w:jc w:val="center"/>
            </w:pPr>
            <w:r>
              <w:t xml:space="preserve">(4.40) </w:t>
            </w:r>
          </w:p>
        </w:tc>
        <w:tc>
          <w:tcPr>
            <w:tcW w:w="1825" w:type="dxa"/>
            <w:tcBorders>
              <w:top w:val="single" w:sz="4" w:space="0" w:color="000000"/>
              <w:left w:val="single" w:sz="4" w:space="0" w:color="000000"/>
              <w:bottom w:val="single" w:sz="4" w:space="0" w:color="000000"/>
              <w:right w:val="single" w:sz="4" w:space="0" w:color="000000"/>
            </w:tcBorders>
            <w:vAlign w:val="center"/>
          </w:tcPr>
          <w:p w14:paraId="564617B3" w14:textId="77777777" w:rsidR="009C7506" w:rsidRDefault="008B3AB3">
            <w:pPr>
              <w:spacing w:after="0" w:line="259" w:lineRule="auto"/>
              <w:ind w:left="0" w:right="52" w:firstLine="0"/>
              <w:jc w:val="center"/>
            </w:pPr>
            <w:r>
              <w:t xml:space="preserve">(-2.84) </w:t>
            </w:r>
          </w:p>
        </w:tc>
        <w:tc>
          <w:tcPr>
            <w:tcW w:w="1807" w:type="dxa"/>
            <w:tcBorders>
              <w:top w:val="single" w:sz="4" w:space="0" w:color="000000"/>
              <w:left w:val="single" w:sz="4" w:space="0" w:color="000000"/>
              <w:bottom w:val="single" w:sz="4" w:space="0" w:color="000000"/>
              <w:right w:val="single" w:sz="4" w:space="0" w:color="000000"/>
            </w:tcBorders>
            <w:vAlign w:val="center"/>
          </w:tcPr>
          <w:p w14:paraId="5A081846" w14:textId="77777777" w:rsidR="009C7506" w:rsidRDefault="008B3AB3">
            <w:pPr>
              <w:spacing w:after="0" w:line="259" w:lineRule="auto"/>
              <w:ind w:left="0" w:right="49" w:firstLine="0"/>
              <w:jc w:val="center"/>
            </w:pPr>
            <w:r>
              <w:t xml:space="preserve">(4.55) </w:t>
            </w:r>
          </w:p>
        </w:tc>
      </w:tr>
      <w:tr w:rsidR="009C7506" w14:paraId="6DBB92FA"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7ED0363B" w14:textId="77777777" w:rsidR="009C7506" w:rsidRDefault="008B3AB3">
            <w:pPr>
              <w:spacing w:after="0" w:line="259" w:lineRule="auto"/>
              <w:ind w:left="0" w:right="52" w:firstLine="0"/>
              <w:jc w:val="center"/>
            </w:pPr>
            <w:r>
              <w:rPr>
                <w:i/>
              </w:rPr>
              <w:t>UNDRR</w:t>
            </w:r>
            <w: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14BD6F58" w14:textId="77777777" w:rsidR="009C7506" w:rsidRDefault="008B3AB3">
            <w:pPr>
              <w:spacing w:after="0" w:line="259" w:lineRule="auto"/>
              <w:ind w:left="0" w:right="57" w:firstLine="0"/>
              <w:jc w:val="center"/>
            </w:pPr>
            <w:r>
              <w:t xml:space="preserve">-0.101 </w:t>
            </w:r>
          </w:p>
        </w:tc>
        <w:tc>
          <w:tcPr>
            <w:tcW w:w="1808" w:type="dxa"/>
            <w:tcBorders>
              <w:top w:val="single" w:sz="4" w:space="0" w:color="000000"/>
              <w:left w:val="single" w:sz="4" w:space="0" w:color="000000"/>
              <w:bottom w:val="single" w:sz="4" w:space="0" w:color="000000"/>
              <w:right w:val="single" w:sz="4" w:space="0" w:color="000000"/>
            </w:tcBorders>
            <w:vAlign w:val="center"/>
          </w:tcPr>
          <w:p w14:paraId="42654AD3" w14:textId="77777777" w:rsidR="009C7506" w:rsidRDefault="008B3AB3">
            <w:pPr>
              <w:spacing w:after="0" w:line="259" w:lineRule="auto"/>
              <w:ind w:left="0" w:right="53" w:firstLine="0"/>
              <w:jc w:val="center"/>
            </w:pPr>
            <w:r>
              <w:t>0.304</w:t>
            </w:r>
            <w:r>
              <w:rPr>
                <w:vertAlign w:val="superscript"/>
              </w:rPr>
              <w:t>***</w:t>
            </w: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42F461E9" w14:textId="77777777" w:rsidR="009C7506" w:rsidRDefault="008B3AB3">
            <w:pPr>
              <w:spacing w:after="0" w:line="259" w:lineRule="auto"/>
              <w:ind w:left="0" w:right="56" w:firstLine="0"/>
              <w:jc w:val="center"/>
            </w:pPr>
            <w:r>
              <w:t xml:space="preserve">-0.104 </w:t>
            </w:r>
          </w:p>
        </w:tc>
        <w:tc>
          <w:tcPr>
            <w:tcW w:w="1807" w:type="dxa"/>
            <w:tcBorders>
              <w:top w:val="single" w:sz="4" w:space="0" w:color="000000"/>
              <w:left w:val="single" w:sz="4" w:space="0" w:color="000000"/>
              <w:bottom w:val="single" w:sz="4" w:space="0" w:color="000000"/>
              <w:right w:val="single" w:sz="4" w:space="0" w:color="000000"/>
            </w:tcBorders>
            <w:vAlign w:val="center"/>
          </w:tcPr>
          <w:p w14:paraId="345CF8A5" w14:textId="77777777" w:rsidR="009C7506" w:rsidRDefault="008B3AB3">
            <w:pPr>
              <w:spacing w:after="0" w:line="259" w:lineRule="auto"/>
              <w:ind w:left="0" w:right="50" w:firstLine="0"/>
              <w:jc w:val="center"/>
            </w:pPr>
            <w:r>
              <w:t>0.259</w:t>
            </w:r>
            <w:r>
              <w:rPr>
                <w:vertAlign w:val="superscript"/>
              </w:rPr>
              <w:t>**</w:t>
            </w:r>
            <w:r>
              <w:t xml:space="preserve"> </w:t>
            </w:r>
          </w:p>
        </w:tc>
      </w:tr>
      <w:tr w:rsidR="009C7506" w14:paraId="606DB305" w14:textId="77777777">
        <w:trPr>
          <w:trHeight w:val="478"/>
        </w:trPr>
        <w:tc>
          <w:tcPr>
            <w:tcW w:w="0" w:type="auto"/>
            <w:vMerge/>
            <w:tcBorders>
              <w:top w:val="nil"/>
              <w:left w:val="single" w:sz="4" w:space="0" w:color="000000"/>
              <w:bottom w:val="single" w:sz="4" w:space="0" w:color="000000"/>
              <w:right w:val="single" w:sz="4" w:space="0" w:color="000000"/>
            </w:tcBorders>
          </w:tcPr>
          <w:p w14:paraId="50027422"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092E2B2D" w14:textId="77777777" w:rsidR="009C7506" w:rsidRDefault="008B3AB3">
            <w:pPr>
              <w:spacing w:after="0" w:line="259" w:lineRule="auto"/>
              <w:ind w:left="0" w:right="53" w:firstLine="0"/>
              <w:jc w:val="center"/>
            </w:pPr>
            <w:r>
              <w:t xml:space="preserve">(-0.94) </w:t>
            </w:r>
          </w:p>
        </w:tc>
        <w:tc>
          <w:tcPr>
            <w:tcW w:w="1808" w:type="dxa"/>
            <w:tcBorders>
              <w:top w:val="single" w:sz="4" w:space="0" w:color="000000"/>
              <w:left w:val="single" w:sz="4" w:space="0" w:color="000000"/>
              <w:bottom w:val="single" w:sz="4" w:space="0" w:color="000000"/>
              <w:right w:val="single" w:sz="4" w:space="0" w:color="000000"/>
            </w:tcBorders>
            <w:vAlign w:val="center"/>
          </w:tcPr>
          <w:p w14:paraId="4B3B0343" w14:textId="77777777" w:rsidR="009C7506" w:rsidRDefault="008B3AB3">
            <w:pPr>
              <w:spacing w:after="0" w:line="259" w:lineRule="auto"/>
              <w:ind w:left="0" w:right="50" w:firstLine="0"/>
              <w:jc w:val="center"/>
            </w:pPr>
            <w:r>
              <w:t xml:space="preserve">(3.44) </w:t>
            </w:r>
          </w:p>
        </w:tc>
        <w:tc>
          <w:tcPr>
            <w:tcW w:w="1825" w:type="dxa"/>
            <w:tcBorders>
              <w:top w:val="single" w:sz="4" w:space="0" w:color="000000"/>
              <w:left w:val="single" w:sz="4" w:space="0" w:color="000000"/>
              <w:bottom w:val="single" w:sz="4" w:space="0" w:color="000000"/>
              <w:right w:val="single" w:sz="4" w:space="0" w:color="000000"/>
            </w:tcBorders>
            <w:vAlign w:val="center"/>
          </w:tcPr>
          <w:p w14:paraId="31F8F7BC" w14:textId="77777777" w:rsidR="009C7506" w:rsidRDefault="008B3AB3">
            <w:pPr>
              <w:spacing w:after="0" w:line="259" w:lineRule="auto"/>
              <w:ind w:left="0" w:right="52" w:firstLine="0"/>
              <w:jc w:val="center"/>
            </w:pPr>
            <w:r>
              <w:t xml:space="preserve">(-0.92) </w:t>
            </w:r>
          </w:p>
        </w:tc>
        <w:tc>
          <w:tcPr>
            <w:tcW w:w="1807" w:type="dxa"/>
            <w:tcBorders>
              <w:top w:val="single" w:sz="4" w:space="0" w:color="000000"/>
              <w:left w:val="single" w:sz="4" w:space="0" w:color="000000"/>
              <w:bottom w:val="single" w:sz="4" w:space="0" w:color="000000"/>
              <w:right w:val="single" w:sz="4" w:space="0" w:color="000000"/>
            </w:tcBorders>
            <w:vAlign w:val="center"/>
          </w:tcPr>
          <w:p w14:paraId="3744AB55" w14:textId="77777777" w:rsidR="009C7506" w:rsidRDefault="008B3AB3">
            <w:pPr>
              <w:spacing w:after="0" w:line="259" w:lineRule="auto"/>
              <w:ind w:left="0" w:right="49" w:firstLine="0"/>
              <w:jc w:val="center"/>
            </w:pPr>
            <w:r>
              <w:t xml:space="preserve">(2.81) </w:t>
            </w:r>
          </w:p>
        </w:tc>
      </w:tr>
      <w:tr w:rsidR="009C7506" w14:paraId="772891DB"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6B79AA2B" w14:textId="77777777" w:rsidR="009C7506" w:rsidRDefault="008B3AB3">
            <w:pPr>
              <w:spacing w:after="0" w:line="259" w:lineRule="auto"/>
              <w:ind w:left="0" w:right="49" w:firstLine="0"/>
              <w:jc w:val="center"/>
            </w:pPr>
            <w:r>
              <w:rPr>
                <w:i/>
              </w:rPr>
              <w:t>Term</w:t>
            </w:r>
            <w: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35822E48" w14:textId="77777777" w:rsidR="009C7506" w:rsidRDefault="008B3AB3">
            <w:pPr>
              <w:spacing w:after="0" w:line="259" w:lineRule="auto"/>
              <w:ind w:left="0" w:right="57" w:firstLine="0"/>
              <w:jc w:val="center"/>
            </w:pPr>
            <w:r>
              <w:t xml:space="preserve">-0.0546 </w:t>
            </w:r>
          </w:p>
        </w:tc>
        <w:tc>
          <w:tcPr>
            <w:tcW w:w="1808" w:type="dxa"/>
            <w:tcBorders>
              <w:top w:val="single" w:sz="4" w:space="0" w:color="000000"/>
              <w:left w:val="single" w:sz="4" w:space="0" w:color="000000"/>
              <w:bottom w:val="single" w:sz="4" w:space="0" w:color="000000"/>
              <w:right w:val="single" w:sz="4" w:space="0" w:color="000000"/>
            </w:tcBorders>
            <w:vAlign w:val="center"/>
          </w:tcPr>
          <w:p w14:paraId="5E3640F8" w14:textId="77777777" w:rsidR="009C7506" w:rsidRDefault="008B3AB3">
            <w:pPr>
              <w:spacing w:after="0" w:line="259" w:lineRule="auto"/>
              <w:ind w:left="0" w:right="53" w:firstLine="0"/>
              <w:jc w:val="center"/>
            </w:pPr>
            <w:r>
              <w:t xml:space="preserve">-0.00301 </w:t>
            </w:r>
          </w:p>
        </w:tc>
        <w:tc>
          <w:tcPr>
            <w:tcW w:w="1825" w:type="dxa"/>
            <w:tcBorders>
              <w:top w:val="single" w:sz="4" w:space="0" w:color="000000"/>
              <w:left w:val="single" w:sz="4" w:space="0" w:color="000000"/>
              <w:bottom w:val="single" w:sz="4" w:space="0" w:color="000000"/>
              <w:right w:val="single" w:sz="4" w:space="0" w:color="000000"/>
            </w:tcBorders>
            <w:vAlign w:val="center"/>
          </w:tcPr>
          <w:p w14:paraId="62674880" w14:textId="77777777" w:rsidR="009C7506" w:rsidRDefault="008B3AB3">
            <w:pPr>
              <w:spacing w:after="0" w:line="259" w:lineRule="auto"/>
              <w:ind w:left="0" w:right="56" w:firstLine="0"/>
              <w:jc w:val="center"/>
            </w:pPr>
            <w:r>
              <w:t xml:space="preserve">-0.0609 </w:t>
            </w:r>
          </w:p>
        </w:tc>
        <w:tc>
          <w:tcPr>
            <w:tcW w:w="1807" w:type="dxa"/>
            <w:tcBorders>
              <w:top w:val="single" w:sz="4" w:space="0" w:color="000000"/>
              <w:left w:val="single" w:sz="4" w:space="0" w:color="000000"/>
              <w:bottom w:val="single" w:sz="4" w:space="0" w:color="000000"/>
              <w:right w:val="single" w:sz="4" w:space="0" w:color="000000"/>
            </w:tcBorders>
            <w:vAlign w:val="center"/>
          </w:tcPr>
          <w:p w14:paraId="2F55519C" w14:textId="77777777" w:rsidR="009C7506" w:rsidRDefault="008B3AB3">
            <w:pPr>
              <w:spacing w:after="0" w:line="259" w:lineRule="auto"/>
              <w:ind w:left="0" w:right="50" w:firstLine="0"/>
              <w:jc w:val="center"/>
            </w:pPr>
            <w:r>
              <w:t xml:space="preserve">0.00804 </w:t>
            </w:r>
          </w:p>
        </w:tc>
      </w:tr>
      <w:tr w:rsidR="009C7506" w14:paraId="5628BEC5" w14:textId="77777777">
        <w:trPr>
          <w:trHeight w:val="478"/>
        </w:trPr>
        <w:tc>
          <w:tcPr>
            <w:tcW w:w="0" w:type="auto"/>
            <w:vMerge/>
            <w:tcBorders>
              <w:top w:val="nil"/>
              <w:left w:val="single" w:sz="4" w:space="0" w:color="000000"/>
              <w:bottom w:val="single" w:sz="4" w:space="0" w:color="000000"/>
              <w:right w:val="single" w:sz="4" w:space="0" w:color="000000"/>
            </w:tcBorders>
          </w:tcPr>
          <w:p w14:paraId="6A7063A2"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74AB3F66" w14:textId="77777777" w:rsidR="009C7506" w:rsidRDefault="008B3AB3">
            <w:pPr>
              <w:spacing w:after="0" w:line="259" w:lineRule="auto"/>
              <w:ind w:left="0" w:right="53" w:firstLine="0"/>
              <w:jc w:val="center"/>
            </w:pPr>
            <w:r>
              <w:t xml:space="preserve">(-1.80) </w:t>
            </w:r>
          </w:p>
        </w:tc>
        <w:tc>
          <w:tcPr>
            <w:tcW w:w="1808" w:type="dxa"/>
            <w:tcBorders>
              <w:top w:val="single" w:sz="4" w:space="0" w:color="000000"/>
              <w:left w:val="single" w:sz="4" w:space="0" w:color="000000"/>
              <w:bottom w:val="single" w:sz="4" w:space="0" w:color="000000"/>
              <w:right w:val="single" w:sz="4" w:space="0" w:color="000000"/>
            </w:tcBorders>
            <w:vAlign w:val="center"/>
          </w:tcPr>
          <w:p w14:paraId="68AC2E6E" w14:textId="77777777" w:rsidR="009C7506" w:rsidRDefault="008B3AB3">
            <w:pPr>
              <w:spacing w:after="0" w:line="259" w:lineRule="auto"/>
              <w:ind w:left="0" w:firstLine="0"/>
              <w:jc w:val="center"/>
            </w:pPr>
            <w:r>
              <w:t xml:space="preserve">(-0.12) </w:t>
            </w:r>
          </w:p>
        </w:tc>
        <w:tc>
          <w:tcPr>
            <w:tcW w:w="1825" w:type="dxa"/>
            <w:tcBorders>
              <w:top w:val="single" w:sz="4" w:space="0" w:color="000000"/>
              <w:left w:val="single" w:sz="4" w:space="0" w:color="000000"/>
              <w:bottom w:val="single" w:sz="4" w:space="0" w:color="000000"/>
              <w:right w:val="single" w:sz="4" w:space="0" w:color="000000"/>
            </w:tcBorders>
            <w:vAlign w:val="center"/>
          </w:tcPr>
          <w:p w14:paraId="307E0DE6" w14:textId="77777777" w:rsidR="009C7506" w:rsidRDefault="008B3AB3">
            <w:pPr>
              <w:spacing w:after="0" w:line="259" w:lineRule="auto"/>
              <w:ind w:left="0" w:right="52" w:firstLine="0"/>
              <w:jc w:val="center"/>
            </w:pPr>
            <w:r>
              <w:t xml:space="preserve">(-1.91) </w:t>
            </w:r>
          </w:p>
        </w:tc>
        <w:tc>
          <w:tcPr>
            <w:tcW w:w="1807" w:type="dxa"/>
            <w:tcBorders>
              <w:top w:val="single" w:sz="4" w:space="0" w:color="000000"/>
              <w:left w:val="single" w:sz="4" w:space="0" w:color="000000"/>
              <w:bottom w:val="single" w:sz="4" w:space="0" w:color="000000"/>
              <w:right w:val="single" w:sz="4" w:space="0" w:color="000000"/>
            </w:tcBorders>
            <w:vAlign w:val="center"/>
          </w:tcPr>
          <w:p w14:paraId="6EE80585" w14:textId="77777777" w:rsidR="009C7506" w:rsidRDefault="008B3AB3">
            <w:pPr>
              <w:spacing w:after="0" w:line="259" w:lineRule="auto"/>
              <w:ind w:left="0" w:right="49" w:firstLine="0"/>
              <w:jc w:val="center"/>
            </w:pPr>
            <w:r>
              <w:t xml:space="preserve">(0.30) </w:t>
            </w:r>
          </w:p>
        </w:tc>
      </w:tr>
      <w:tr w:rsidR="009C7506" w14:paraId="27198D99" w14:textId="77777777">
        <w:trPr>
          <w:trHeight w:val="480"/>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742B645B" w14:textId="77777777" w:rsidR="009C7506" w:rsidRDefault="008B3AB3">
            <w:pPr>
              <w:spacing w:after="0" w:line="259" w:lineRule="auto"/>
              <w:ind w:left="0" w:right="52" w:firstLine="0"/>
              <w:jc w:val="center"/>
            </w:pPr>
            <w:r>
              <w:rPr>
                <w:i/>
              </w:rPr>
              <w:t>TotalSize</w:t>
            </w:r>
            <w: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3FB5DA44" w14:textId="77777777" w:rsidR="009C7506" w:rsidRDefault="008B3AB3">
            <w:pPr>
              <w:spacing w:after="0" w:line="259" w:lineRule="auto"/>
              <w:ind w:left="0" w:right="52" w:firstLine="0"/>
              <w:jc w:val="center"/>
            </w:pPr>
            <w:r>
              <w:t xml:space="preserve">-0.00950 </w:t>
            </w:r>
          </w:p>
        </w:tc>
        <w:tc>
          <w:tcPr>
            <w:tcW w:w="1808" w:type="dxa"/>
            <w:tcBorders>
              <w:top w:val="single" w:sz="4" w:space="0" w:color="000000"/>
              <w:left w:val="single" w:sz="4" w:space="0" w:color="000000"/>
              <w:bottom w:val="single" w:sz="4" w:space="0" w:color="000000"/>
              <w:right w:val="single" w:sz="4" w:space="0" w:color="000000"/>
            </w:tcBorders>
            <w:vAlign w:val="center"/>
          </w:tcPr>
          <w:p w14:paraId="3E832910" w14:textId="77777777" w:rsidR="009C7506" w:rsidRDefault="008B3AB3">
            <w:pPr>
              <w:spacing w:after="0" w:line="259" w:lineRule="auto"/>
              <w:ind w:left="0" w:right="56" w:firstLine="0"/>
              <w:jc w:val="center"/>
            </w:pPr>
            <w:r>
              <w:t>0.0160</w:t>
            </w:r>
            <w:r>
              <w:rPr>
                <w:vertAlign w:val="superscript"/>
              </w:rPr>
              <w:t>***</w:t>
            </w: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48CB13CB" w14:textId="77777777" w:rsidR="009C7506" w:rsidRDefault="008B3AB3">
            <w:pPr>
              <w:spacing w:after="0" w:line="259" w:lineRule="auto"/>
              <w:ind w:left="0" w:right="56" w:firstLine="0"/>
              <w:jc w:val="center"/>
            </w:pPr>
            <w:r>
              <w:t xml:space="preserve">-0.0104 </w:t>
            </w:r>
          </w:p>
        </w:tc>
        <w:tc>
          <w:tcPr>
            <w:tcW w:w="1807" w:type="dxa"/>
            <w:tcBorders>
              <w:top w:val="single" w:sz="4" w:space="0" w:color="000000"/>
              <w:left w:val="single" w:sz="4" w:space="0" w:color="000000"/>
              <w:bottom w:val="single" w:sz="4" w:space="0" w:color="000000"/>
              <w:right w:val="single" w:sz="4" w:space="0" w:color="000000"/>
            </w:tcBorders>
            <w:vAlign w:val="center"/>
          </w:tcPr>
          <w:p w14:paraId="31C32970" w14:textId="77777777" w:rsidR="009C7506" w:rsidRDefault="008B3AB3">
            <w:pPr>
              <w:spacing w:after="0" w:line="259" w:lineRule="auto"/>
              <w:ind w:left="0" w:right="55" w:firstLine="0"/>
              <w:jc w:val="center"/>
            </w:pPr>
            <w:r>
              <w:t>0.0180</w:t>
            </w:r>
            <w:r>
              <w:rPr>
                <w:vertAlign w:val="superscript"/>
              </w:rPr>
              <w:t>***</w:t>
            </w:r>
            <w:r>
              <w:t xml:space="preserve"> </w:t>
            </w:r>
          </w:p>
        </w:tc>
      </w:tr>
      <w:tr w:rsidR="009C7506" w14:paraId="2A22C0F1" w14:textId="77777777">
        <w:trPr>
          <w:trHeight w:val="478"/>
        </w:trPr>
        <w:tc>
          <w:tcPr>
            <w:tcW w:w="0" w:type="auto"/>
            <w:vMerge/>
            <w:tcBorders>
              <w:top w:val="nil"/>
              <w:left w:val="single" w:sz="4" w:space="0" w:color="000000"/>
              <w:bottom w:val="single" w:sz="4" w:space="0" w:color="000000"/>
              <w:right w:val="single" w:sz="4" w:space="0" w:color="000000"/>
            </w:tcBorders>
          </w:tcPr>
          <w:p w14:paraId="1A59ED3E"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06EF2204" w14:textId="77777777" w:rsidR="009C7506" w:rsidRDefault="008B3AB3">
            <w:pPr>
              <w:spacing w:after="0" w:line="259" w:lineRule="auto"/>
              <w:ind w:left="0" w:right="53" w:firstLine="0"/>
              <w:jc w:val="center"/>
            </w:pPr>
            <w:r>
              <w:t xml:space="preserve">(-1.80) </w:t>
            </w:r>
          </w:p>
        </w:tc>
        <w:tc>
          <w:tcPr>
            <w:tcW w:w="1808" w:type="dxa"/>
            <w:tcBorders>
              <w:top w:val="single" w:sz="4" w:space="0" w:color="000000"/>
              <w:left w:val="single" w:sz="4" w:space="0" w:color="000000"/>
              <w:bottom w:val="single" w:sz="4" w:space="0" w:color="000000"/>
              <w:right w:val="single" w:sz="4" w:space="0" w:color="000000"/>
            </w:tcBorders>
            <w:vAlign w:val="center"/>
          </w:tcPr>
          <w:p w14:paraId="1EF8B9AA" w14:textId="77777777" w:rsidR="009C7506" w:rsidRDefault="008B3AB3">
            <w:pPr>
              <w:spacing w:after="0" w:line="259" w:lineRule="auto"/>
              <w:ind w:left="0" w:right="50" w:firstLine="0"/>
              <w:jc w:val="center"/>
            </w:pPr>
            <w:r>
              <w:t xml:space="preserve">(3.69) </w:t>
            </w:r>
          </w:p>
        </w:tc>
        <w:tc>
          <w:tcPr>
            <w:tcW w:w="1825" w:type="dxa"/>
            <w:tcBorders>
              <w:top w:val="single" w:sz="4" w:space="0" w:color="000000"/>
              <w:left w:val="single" w:sz="4" w:space="0" w:color="000000"/>
              <w:bottom w:val="single" w:sz="4" w:space="0" w:color="000000"/>
              <w:right w:val="single" w:sz="4" w:space="0" w:color="000000"/>
            </w:tcBorders>
            <w:vAlign w:val="center"/>
          </w:tcPr>
          <w:p w14:paraId="46F769CD" w14:textId="77777777" w:rsidR="009C7506" w:rsidRDefault="008B3AB3">
            <w:pPr>
              <w:spacing w:after="0" w:line="259" w:lineRule="auto"/>
              <w:ind w:left="0" w:right="52" w:firstLine="0"/>
              <w:jc w:val="center"/>
            </w:pPr>
            <w:r>
              <w:t xml:space="preserve">(-1.81) </w:t>
            </w:r>
          </w:p>
        </w:tc>
        <w:tc>
          <w:tcPr>
            <w:tcW w:w="1807" w:type="dxa"/>
            <w:tcBorders>
              <w:top w:val="single" w:sz="4" w:space="0" w:color="000000"/>
              <w:left w:val="single" w:sz="4" w:space="0" w:color="000000"/>
              <w:bottom w:val="single" w:sz="4" w:space="0" w:color="000000"/>
              <w:right w:val="single" w:sz="4" w:space="0" w:color="000000"/>
            </w:tcBorders>
            <w:vAlign w:val="center"/>
          </w:tcPr>
          <w:p w14:paraId="1CA2BC69" w14:textId="77777777" w:rsidR="009C7506" w:rsidRDefault="008B3AB3">
            <w:pPr>
              <w:spacing w:after="0" w:line="259" w:lineRule="auto"/>
              <w:ind w:left="0" w:right="49" w:firstLine="0"/>
              <w:jc w:val="center"/>
            </w:pPr>
            <w:r>
              <w:t xml:space="preserve">(3.90) </w:t>
            </w:r>
          </w:p>
        </w:tc>
      </w:tr>
      <w:tr w:rsidR="009C7506" w14:paraId="5204D5BE"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1250AB41" w14:textId="77777777" w:rsidR="009C7506" w:rsidRDefault="008B3AB3">
            <w:pPr>
              <w:spacing w:after="0" w:line="259" w:lineRule="auto"/>
              <w:ind w:left="0" w:right="49" w:firstLine="0"/>
              <w:jc w:val="center"/>
            </w:pPr>
            <w:r>
              <w:rPr>
                <w:i/>
              </w:rPr>
              <w:t>Size</w:t>
            </w:r>
            <w: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3BC69DF4" w14:textId="77777777" w:rsidR="009C7506" w:rsidRDefault="008B3AB3">
            <w:pPr>
              <w:spacing w:after="0" w:line="259" w:lineRule="auto"/>
              <w:ind w:left="0" w:right="55" w:firstLine="0"/>
              <w:jc w:val="center"/>
            </w:pPr>
            <w:r>
              <w:t xml:space="preserve">-9.66e-13 </w:t>
            </w:r>
          </w:p>
        </w:tc>
        <w:tc>
          <w:tcPr>
            <w:tcW w:w="1808" w:type="dxa"/>
            <w:tcBorders>
              <w:top w:val="single" w:sz="4" w:space="0" w:color="000000"/>
              <w:left w:val="single" w:sz="4" w:space="0" w:color="000000"/>
              <w:bottom w:val="single" w:sz="4" w:space="0" w:color="000000"/>
              <w:right w:val="single" w:sz="4" w:space="0" w:color="000000"/>
            </w:tcBorders>
            <w:vAlign w:val="center"/>
          </w:tcPr>
          <w:p w14:paraId="4DA65C1A" w14:textId="77777777" w:rsidR="009C7506" w:rsidRDefault="008B3AB3">
            <w:pPr>
              <w:spacing w:after="0" w:line="259" w:lineRule="auto"/>
              <w:ind w:left="0" w:right="50" w:firstLine="0"/>
              <w:jc w:val="center"/>
            </w:pPr>
            <w:r>
              <w:t>9.78e-12</w:t>
            </w:r>
            <w:r>
              <w:rPr>
                <w:vertAlign w:val="superscript"/>
              </w:rPr>
              <w:t>***</w:t>
            </w: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02282FB6" w14:textId="77777777" w:rsidR="009C7506" w:rsidRDefault="008B3AB3">
            <w:pPr>
              <w:spacing w:after="0" w:line="259" w:lineRule="auto"/>
              <w:ind w:left="0" w:right="53" w:firstLine="0"/>
              <w:jc w:val="center"/>
            </w:pPr>
            <w:r>
              <w:t>-</w:t>
            </w:r>
            <w:r>
              <w:t xml:space="preserve">8.36e-13 </w:t>
            </w:r>
          </w:p>
        </w:tc>
        <w:tc>
          <w:tcPr>
            <w:tcW w:w="1807" w:type="dxa"/>
            <w:tcBorders>
              <w:top w:val="single" w:sz="4" w:space="0" w:color="000000"/>
              <w:left w:val="single" w:sz="4" w:space="0" w:color="000000"/>
              <w:bottom w:val="single" w:sz="4" w:space="0" w:color="000000"/>
              <w:right w:val="single" w:sz="4" w:space="0" w:color="000000"/>
            </w:tcBorders>
            <w:vAlign w:val="center"/>
          </w:tcPr>
          <w:p w14:paraId="5ABAF98F" w14:textId="77777777" w:rsidR="009C7506" w:rsidRDefault="008B3AB3">
            <w:pPr>
              <w:spacing w:after="0" w:line="259" w:lineRule="auto"/>
              <w:ind w:left="0" w:right="50" w:firstLine="0"/>
              <w:jc w:val="center"/>
            </w:pPr>
            <w:r>
              <w:t>8.96e-12</w:t>
            </w:r>
            <w:r>
              <w:rPr>
                <w:vertAlign w:val="superscript"/>
              </w:rPr>
              <w:t>***</w:t>
            </w:r>
            <w:r>
              <w:t xml:space="preserve"> </w:t>
            </w:r>
          </w:p>
        </w:tc>
      </w:tr>
      <w:tr w:rsidR="009C7506" w14:paraId="013FC7B0" w14:textId="77777777">
        <w:trPr>
          <w:trHeight w:val="478"/>
        </w:trPr>
        <w:tc>
          <w:tcPr>
            <w:tcW w:w="0" w:type="auto"/>
            <w:vMerge/>
            <w:tcBorders>
              <w:top w:val="nil"/>
              <w:left w:val="single" w:sz="4" w:space="0" w:color="000000"/>
              <w:bottom w:val="single" w:sz="4" w:space="0" w:color="000000"/>
              <w:right w:val="single" w:sz="4" w:space="0" w:color="000000"/>
            </w:tcBorders>
          </w:tcPr>
          <w:p w14:paraId="1E88AEFF"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7CAE1F5C" w14:textId="77777777" w:rsidR="009C7506" w:rsidRDefault="008B3AB3">
            <w:pPr>
              <w:spacing w:after="0" w:line="259" w:lineRule="auto"/>
              <w:ind w:left="0" w:right="53" w:firstLine="0"/>
              <w:jc w:val="center"/>
            </w:pPr>
            <w:r>
              <w:t xml:space="preserve">(-0.49) </w:t>
            </w:r>
          </w:p>
        </w:tc>
        <w:tc>
          <w:tcPr>
            <w:tcW w:w="1808" w:type="dxa"/>
            <w:tcBorders>
              <w:top w:val="single" w:sz="4" w:space="0" w:color="000000"/>
              <w:left w:val="single" w:sz="4" w:space="0" w:color="000000"/>
              <w:bottom w:val="single" w:sz="4" w:space="0" w:color="000000"/>
              <w:right w:val="single" w:sz="4" w:space="0" w:color="000000"/>
            </w:tcBorders>
            <w:vAlign w:val="center"/>
          </w:tcPr>
          <w:p w14:paraId="3EF60B80" w14:textId="77777777" w:rsidR="009C7506" w:rsidRDefault="008B3AB3">
            <w:pPr>
              <w:spacing w:after="0" w:line="259" w:lineRule="auto"/>
              <w:ind w:left="0" w:right="50" w:firstLine="0"/>
              <w:jc w:val="center"/>
            </w:pPr>
            <w:r>
              <w:t xml:space="preserve">(6.53) </w:t>
            </w:r>
          </w:p>
        </w:tc>
        <w:tc>
          <w:tcPr>
            <w:tcW w:w="1825" w:type="dxa"/>
            <w:tcBorders>
              <w:top w:val="single" w:sz="4" w:space="0" w:color="000000"/>
              <w:left w:val="single" w:sz="4" w:space="0" w:color="000000"/>
              <w:bottom w:val="single" w:sz="4" w:space="0" w:color="000000"/>
              <w:right w:val="single" w:sz="4" w:space="0" w:color="000000"/>
            </w:tcBorders>
            <w:vAlign w:val="center"/>
          </w:tcPr>
          <w:p w14:paraId="002409BE" w14:textId="77777777" w:rsidR="009C7506" w:rsidRDefault="008B3AB3">
            <w:pPr>
              <w:spacing w:after="0" w:line="259" w:lineRule="auto"/>
              <w:ind w:left="0" w:right="52" w:firstLine="0"/>
              <w:jc w:val="center"/>
            </w:pPr>
            <w:r>
              <w:t xml:space="preserve">(-0.40) </w:t>
            </w:r>
          </w:p>
        </w:tc>
        <w:tc>
          <w:tcPr>
            <w:tcW w:w="1807" w:type="dxa"/>
            <w:tcBorders>
              <w:top w:val="single" w:sz="4" w:space="0" w:color="000000"/>
              <w:left w:val="single" w:sz="4" w:space="0" w:color="000000"/>
              <w:bottom w:val="single" w:sz="4" w:space="0" w:color="000000"/>
              <w:right w:val="single" w:sz="4" w:space="0" w:color="000000"/>
            </w:tcBorders>
            <w:vAlign w:val="center"/>
          </w:tcPr>
          <w:p w14:paraId="01966225" w14:textId="77777777" w:rsidR="009C7506" w:rsidRDefault="008B3AB3">
            <w:pPr>
              <w:spacing w:after="0" w:line="259" w:lineRule="auto"/>
              <w:ind w:left="0" w:right="49" w:firstLine="0"/>
              <w:jc w:val="center"/>
            </w:pPr>
            <w:r>
              <w:t xml:space="preserve">(5.61) </w:t>
            </w:r>
          </w:p>
        </w:tc>
      </w:tr>
      <w:tr w:rsidR="009C7506" w14:paraId="1FA6D75C"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06DC6D2A" w14:textId="77777777" w:rsidR="009C7506" w:rsidRDefault="008B3AB3">
            <w:pPr>
              <w:spacing w:after="0" w:line="259" w:lineRule="auto"/>
              <w:ind w:left="0" w:right="0" w:firstLine="0"/>
              <w:jc w:val="center"/>
            </w:pPr>
            <w:r>
              <w:t xml:space="preserve">Short-term solvency factor </w:t>
            </w:r>
          </w:p>
        </w:tc>
        <w:tc>
          <w:tcPr>
            <w:tcW w:w="1587" w:type="dxa"/>
            <w:tcBorders>
              <w:top w:val="single" w:sz="4" w:space="0" w:color="000000"/>
              <w:left w:val="single" w:sz="4" w:space="0" w:color="000000"/>
              <w:bottom w:val="single" w:sz="4" w:space="0" w:color="000000"/>
              <w:right w:val="single" w:sz="4" w:space="0" w:color="000000"/>
            </w:tcBorders>
            <w:vAlign w:val="center"/>
          </w:tcPr>
          <w:p w14:paraId="5154A23A" w14:textId="77777777" w:rsidR="009C7506" w:rsidRDefault="008B3AB3">
            <w:pPr>
              <w:spacing w:after="0" w:line="259" w:lineRule="auto"/>
              <w:ind w:left="0" w:right="57" w:firstLine="0"/>
              <w:jc w:val="center"/>
            </w:pPr>
            <w:r>
              <w:t xml:space="preserve">-1.033 </w:t>
            </w:r>
          </w:p>
        </w:tc>
        <w:tc>
          <w:tcPr>
            <w:tcW w:w="1808" w:type="dxa"/>
            <w:tcBorders>
              <w:top w:val="single" w:sz="4" w:space="0" w:color="000000"/>
              <w:left w:val="single" w:sz="4" w:space="0" w:color="000000"/>
              <w:bottom w:val="single" w:sz="4" w:space="0" w:color="000000"/>
              <w:right w:val="single" w:sz="4" w:space="0" w:color="000000"/>
            </w:tcBorders>
            <w:vAlign w:val="center"/>
          </w:tcPr>
          <w:p w14:paraId="36E05DDC" w14:textId="77777777" w:rsidR="009C7506" w:rsidRDefault="008B3AB3">
            <w:pPr>
              <w:spacing w:after="0" w:line="259" w:lineRule="auto"/>
              <w:ind w:left="0" w:right="53" w:firstLine="0"/>
              <w:jc w:val="center"/>
            </w:pPr>
            <w:r>
              <w:t xml:space="preserve">-1.145 </w:t>
            </w:r>
          </w:p>
        </w:tc>
        <w:tc>
          <w:tcPr>
            <w:tcW w:w="1825" w:type="dxa"/>
            <w:tcBorders>
              <w:top w:val="single" w:sz="4" w:space="0" w:color="000000"/>
              <w:left w:val="single" w:sz="4" w:space="0" w:color="000000"/>
              <w:bottom w:val="single" w:sz="4" w:space="0" w:color="000000"/>
              <w:right w:val="single" w:sz="4" w:space="0" w:color="000000"/>
            </w:tcBorders>
            <w:vAlign w:val="center"/>
          </w:tcPr>
          <w:p w14:paraId="587D8076" w14:textId="77777777" w:rsidR="009C7506" w:rsidRDefault="008B3AB3">
            <w:pPr>
              <w:spacing w:after="0" w:line="259" w:lineRule="auto"/>
              <w:ind w:left="0" w:right="56" w:firstLine="0"/>
              <w:jc w:val="center"/>
            </w:pPr>
            <w:r>
              <w:t xml:space="preserve">-1.090 </w:t>
            </w:r>
          </w:p>
        </w:tc>
        <w:tc>
          <w:tcPr>
            <w:tcW w:w="1807" w:type="dxa"/>
            <w:tcBorders>
              <w:top w:val="single" w:sz="4" w:space="0" w:color="000000"/>
              <w:left w:val="single" w:sz="4" w:space="0" w:color="000000"/>
              <w:bottom w:val="single" w:sz="4" w:space="0" w:color="000000"/>
              <w:right w:val="single" w:sz="4" w:space="0" w:color="000000"/>
            </w:tcBorders>
            <w:vAlign w:val="center"/>
          </w:tcPr>
          <w:p w14:paraId="61B609E7" w14:textId="77777777" w:rsidR="009C7506" w:rsidRDefault="008B3AB3">
            <w:pPr>
              <w:spacing w:after="0" w:line="259" w:lineRule="auto"/>
              <w:ind w:left="0" w:right="53" w:firstLine="0"/>
              <w:jc w:val="center"/>
            </w:pPr>
            <w:r>
              <w:t xml:space="preserve">-1.032 </w:t>
            </w:r>
          </w:p>
        </w:tc>
      </w:tr>
      <w:tr w:rsidR="009C7506" w14:paraId="130F4DC4" w14:textId="77777777">
        <w:trPr>
          <w:trHeight w:val="936"/>
        </w:trPr>
        <w:tc>
          <w:tcPr>
            <w:tcW w:w="0" w:type="auto"/>
            <w:vMerge/>
            <w:tcBorders>
              <w:top w:val="nil"/>
              <w:left w:val="single" w:sz="4" w:space="0" w:color="000000"/>
              <w:bottom w:val="single" w:sz="4" w:space="0" w:color="000000"/>
              <w:right w:val="single" w:sz="4" w:space="0" w:color="000000"/>
            </w:tcBorders>
          </w:tcPr>
          <w:p w14:paraId="5EA0A23C"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tcPr>
          <w:p w14:paraId="537CD261" w14:textId="77777777" w:rsidR="009C7506" w:rsidRDefault="008B3AB3">
            <w:pPr>
              <w:spacing w:after="0" w:line="259" w:lineRule="auto"/>
              <w:ind w:left="0" w:right="53" w:firstLine="0"/>
              <w:jc w:val="center"/>
            </w:pPr>
            <w:r>
              <w:t xml:space="preserve">(-0.93) </w:t>
            </w:r>
          </w:p>
        </w:tc>
        <w:tc>
          <w:tcPr>
            <w:tcW w:w="1808" w:type="dxa"/>
            <w:tcBorders>
              <w:top w:val="single" w:sz="4" w:space="0" w:color="000000"/>
              <w:left w:val="single" w:sz="4" w:space="0" w:color="000000"/>
              <w:bottom w:val="single" w:sz="4" w:space="0" w:color="000000"/>
              <w:right w:val="single" w:sz="4" w:space="0" w:color="000000"/>
            </w:tcBorders>
          </w:tcPr>
          <w:p w14:paraId="769FB35E" w14:textId="77777777" w:rsidR="009C7506" w:rsidRDefault="008B3AB3">
            <w:pPr>
              <w:spacing w:after="0" w:line="259" w:lineRule="auto"/>
              <w:ind w:left="0" w:firstLine="0"/>
              <w:jc w:val="center"/>
            </w:pPr>
            <w:r>
              <w:t xml:space="preserve">(-1.23) </w:t>
            </w:r>
          </w:p>
        </w:tc>
        <w:tc>
          <w:tcPr>
            <w:tcW w:w="1825" w:type="dxa"/>
            <w:tcBorders>
              <w:top w:val="single" w:sz="4" w:space="0" w:color="000000"/>
              <w:left w:val="single" w:sz="4" w:space="0" w:color="000000"/>
              <w:bottom w:val="single" w:sz="4" w:space="0" w:color="000000"/>
              <w:right w:val="single" w:sz="4" w:space="0" w:color="000000"/>
            </w:tcBorders>
          </w:tcPr>
          <w:p w14:paraId="67B11F12" w14:textId="77777777" w:rsidR="009C7506" w:rsidRDefault="008B3AB3">
            <w:pPr>
              <w:spacing w:after="0" w:line="259" w:lineRule="auto"/>
              <w:ind w:left="0" w:right="52" w:firstLine="0"/>
              <w:jc w:val="center"/>
            </w:pPr>
            <w:r>
              <w:t xml:space="preserve">(-0.96) </w:t>
            </w:r>
          </w:p>
        </w:tc>
        <w:tc>
          <w:tcPr>
            <w:tcW w:w="1807" w:type="dxa"/>
            <w:tcBorders>
              <w:top w:val="single" w:sz="4" w:space="0" w:color="000000"/>
              <w:left w:val="single" w:sz="4" w:space="0" w:color="000000"/>
              <w:bottom w:val="single" w:sz="4" w:space="0" w:color="000000"/>
              <w:right w:val="single" w:sz="4" w:space="0" w:color="000000"/>
            </w:tcBorders>
          </w:tcPr>
          <w:p w14:paraId="1101F48C" w14:textId="77777777" w:rsidR="009C7506" w:rsidRDefault="008B3AB3">
            <w:pPr>
              <w:spacing w:after="0" w:line="259" w:lineRule="auto"/>
              <w:ind w:left="0" w:firstLine="0"/>
              <w:jc w:val="center"/>
            </w:pPr>
            <w:r>
              <w:t xml:space="preserve">(-1.10) </w:t>
            </w:r>
          </w:p>
        </w:tc>
      </w:tr>
      <w:tr w:rsidR="009C7506" w14:paraId="362A945B"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4D2726CD" w14:textId="77777777" w:rsidR="009C7506" w:rsidRDefault="008B3AB3">
            <w:pPr>
              <w:spacing w:after="192" w:line="259" w:lineRule="auto"/>
              <w:ind w:left="0" w:right="49" w:firstLine="0"/>
              <w:jc w:val="center"/>
            </w:pPr>
            <w:r>
              <w:t xml:space="preserve">Long-term </w:t>
            </w:r>
          </w:p>
          <w:p w14:paraId="72087510" w14:textId="77777777" w:rsidR="009C7506" w:rsidRDefault="008B3AB3">
            <w:pPr>
              <w:spacing w:after="0" w:line="259" w:lineRule="auto"/>
              <w:ind w:left="0" w:right="0" w:firstLine="0"/>
              <w:jc w:val="center"/>
            </w:pPr>
            <w:r>
              <w:t xml:space="preserve">profitability factor </w:t>
            </w:r>
          </w:p>
        </w:tc>
        <w:tc>
          <w:tcPr>
            <w:tcW w:w="1587" w:type="dxa"/>
            <w:tcBorders>
              <w:top w:val="single" w:sz="4" w:space="0" w:color="000000"/>
              <w:left w:val="single" w:sz="4" w:space="0" w:color="000000"/>
              <w:bottom w:val="single" w:sz="4" w:space="0" w:color="000000"/>
              <w:right w:val="single" w:sz="4" w:space="0" w:color="000000"/>
            </w:tcBorders>
            <w:vAlign w:val="center"/>
          </w:tcPr>
          <w:p w14:paraId="497FEAE9" w14:textId="77777777" w:rsidR="009C7506" w:rsidRDefault="008B3AB3">
            <w:pPr>
              <w:spacing w:after="0" w:line="259" w:lineRule="auto"/>
              <w:ind w:left="0" w:right="57" w:firstLine="0"/>
              <w:jc w:val="center"/>
            </w:pPr>
            <w:r>
              <w:t xml:space="preserve">-0.233 </w:t>
            </w:r>
          </w:p>
        </w:tc>
        <w:tc>
          <w:tcPr>
            <w:tcW w:w="1808" w:type="dxa"/>
            <w:tcBorders>
              <w:top w:val="single" w:sz="4" w:space="0" w:color="000000"/>
              <w:left w:val="single" w:sz="4" w:space="0" w:color="000000"/>
              <w:bottom w:val="single" w:sz="4" w:space="0" w:color="000000"/>
              <w:right w:val="single" w:sz="4" w:space="0" w:color="000000"/>
            </w:tcBorders>
            <w:vAlign w:val="center"/>
          </w:tcPr>
          <w:p w14:paraId="4B63CF79" w14:textId="77777777" w:rsidR="009C7506" w:rsidRDefault="008B3AB3">
            <w:pPr>
              <w:spacing w:after="0" w:line="259" w:lineRule="auto"/>
              <w:ind w:left="0" w:right="48" w:firstLine="0"/>
              <w:jc w:val="center"/>
            </w:pPr>
            <w:r>
              <w:t>0.814</w:t>
            </w:r>
            <w:r>
              <w:rPr>
                <w:vertAlign w:val="superscript"/>
              </w:rPr>
              <w:t>*</w:t>
            </w: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4F1B4533" w14:textId="77777777" w:rsidR="009C7506" w:rsidRDefault="008B3AB3">
            <w:pPr>
              <w:spacing w:after="0" w:line="259" w:lineRule="auto"/>
              <w:ind w:left="0" w:right="56" w:firstLine="0"/>
              <w:jc w:val="center"/>
            </w:pPr>
            <w:r>
              <w:t xml:space="preserve">-0.232 </w:t>
            </w:r>
          </w:p>
        </w:tc>
        <w:tc>
          <w:tcPr>
            <w:tcW w:w="1807" w:type="dxa"/>
            <w:tcBorders>
              <w:top w:val="single" w:sz="4" w:space="0" w:color="000000"/>
              <w:left w:val="single" w:sz="4" w:space="0" w:color="000000"/>
              <w:bottom w:val="single" w:sz="4" w:space="0" w:color="000000"/>
              <w:right w:val="single" w:sz="4" w:space="0" w:color="000000"/>
            </w:tcBorders>
            <w:vAlign w:val="center"/>
          </w:tcPr>
          <w:p w14:paraId="643A931C" w14:textId="77777777" w:rsidR="009C7506" w:rsidRDefault="008B3AB3">
            <w:pPr>
              <w:spacing w:after="0" w:line="259" w:lineRule="auto"/>
              <w:ind w:left="0" w:right="50" w:firstLine="0"/>
              <w:jc w:val="center"/>
            </w:pPr>
            <w:r>
              <w:t xml:space="preserve">0.719 </w:t>
            </w:r>
          </w:p>
        </w:tc>
      </w:tr>
      <w:tr w:rsidR="009C7506" w14:paraId="0B0BB847" w14:textId="77777777">
        <w:trPr>
          <w:trHeight w:val="937"/>
        </w:trPr>
        <w:tc>
          <w:tcPr>
            <w:tcW w:w="0" w:type="auto"/>
            <w:vMerge/>
            <w:tcBorders>
              <w:top w:val="nil"/>
              <w:left w:val="single" w:sz="4" w:space="0" w:color="000000"/>
              <w:bottom w:val="single" w:sz="4" w:space="0" w:color="000000"/>
              <w:right w:val="single" w:sz="4" w:space="0" w:color="000000"/>
            </w:tcBorders>
          </w:tcPr>
          <w:p w14:paraId="1A8A3237"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tcPr>
          <w:p w14:paraId="42B52293" w14:textId="77777777" w:rsidR="009C7506" w:rsidRDefault="008B3AB3">
            <w:pPr>
              <w:spacing w:after="0" w:line="259" w:lineRule="auto"/>
              <w:ind w:left="0" w:right="53" w:firstLine="0"/>
              <w:jc w:val="center"/>
            </w:pPr>
            <w:r>
              <w:t xml:space="preserve">(-0.51) </w:t>
            </w:r>
          </w:p>
        </w:tc>
        <w:tc>
          <w:tcPr>
            <w:tcW w:w="1808" w:type="dxa"/>
            <w:tcBorders>
              <w:top w:val="single" w:sz="4" w:space="0" w:color="000000"/>
              <w:left w:val="single" w:sz="4" w:space="0" w:color="000000"/>
              <w:bottom w:val="single" w:sz="4" w:space="0" w:color="000000"/>
              <w:right w:val="single" w:sz="4" w:space="0" w:color="000000"/>
            </w:tcBorders>
          </w:tcPr>
          <w:p w14:paraId="39FC3CE4" w14:textId="77777777" w:rsidR="009C7506" w:rsidRDefault="008B3AB3">
            <w:pPr>
              <w:spacing w:after="0" w:line="259" w:lineRule="auto"/>
              <w:ind w:left="0" w:right="50" w:firstLine="0"/>
              <w:jc w:val="center"/>
            </w:pPr>
            <w:r>
              <w:t xml:space="preserve">(2.13) </w:t>
            </w:r>
          </w:p>
        </w:tc>
        <w:tc>
          <w:tcPr>
            <w:tcW w:w="1825" w:type="dxa"/>
            <w:tcBorders>
              <w:top w:val="single" w:sz="4" w:space="0" w:color="000000"/>
              <w:left w:val="single" w:sz="4" w:space="0" w:color="000000"/>
              <w:bottom w:val="single" w:sz="4" w:space="0" w:color="000000"/>
              <w:right w:val="single" w:sz="4" w:space="0" w:color="000000"/>
            </w:tcBorders>
          </w:tcPr>
          <w:p w14:paraId="1CB8C85A" w14:textId="77777777" w:rsidR="009C7506" w:rsidRDefault="008B3AB3">
            <w:pPr>
              <w:spacing w:after="0" w:line="259" w:lineRule="auto"/>
              <w:ind w:left="0" w:right="52" w:firstLine="0"/>
              <w:jc w:val="center"/>
            </w:pPr>
            <w:r>
              <w:t xml:space="preserve">(-0.50) </w:t>
            </w:r>
          </w:p>
        </w:tc>
        <w:tc>
          <w:tcPr>
            <w:tcW w:w="1807" w:type="dxa"/>
            <w:tcBorders>
              <w:top w:val="single" w:sz="4" w:space="0" w:color="000000"/>
              <w:left w:val="single" w:sz="4" w:space="0" w:color="000000"/>
              <w:bottom w:val="single" w:sz="4" w:space="0" w:color="000000"/>
              <w:right w:val="single" w:sz="4" w:space="0" w:color="000000"/>
            </w:tcBorders>
          </w:tcPr>
          <w:p w14:paraId="77EAF025" w14:textId="77777777" w:rsidR="009C7506" w:rsidRDefault="008B3AB3">
            <w:pPr>
              <w:spacing w:after="0" w:line="259" w:lineRule="auto"/>
              <w:ind w:left="0" w:right="49" w:firstLine="0"/>
              <w:jc w:val="center"/>
            </w:pPr>
            <w:r>
              <w:t xml:space="preserve">(1.87) </w:t>
            </w:r>
          </w:p>
        </w:tc>
      </w:tr>
      <w:tr w:rsidR="009C7506" w14:paraId="32C0A2AB" w14:textId="77777777">
        <w:trPr>
          <w:trHeight w:val="480"/>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5BA92095" w14:textId="77777777" w:rsidR="009C7506" w:rsidRDefault="008B3AB3">
            <w:pPr>
              <w:spacing w:after="0" w:line="259" w:lineRule="auto"/>
              <w:ind w:left="0" w:right="0" w:firstLine="0"/>
              <w:jc w:val="center"/>
            </w:pPr>
            <w:r>
              <w:t xml:space="preserve">Short -term profitability factor </w:t>
            </w:r>
          </w:p>
        </w:tc>
        <w:tc>
          <w:tcPr>
            <w:tcW w:w="1587" w:type="dxa"/>
            <w:tcBorders>
              <w:top w:val="single" w:sz="4" w:space="0" w:color="000000"/>
              <w:left w:val="single" w:sz="4" w:space="0" w:color="000000"/>
              <w:bottom w:val="single" w:sz="4" w:space="0" w:color="000000"/>
              <w:right w:val="single" w:sz="4" w:space="0" w:color="000000"/>
            </w:tcBorders>
            <w:vAlign w:val="center"/>
          </w:tcPr>
          <w:p w14:paraId="0253D517" w14:textId="77777777" w:rsidR="009C7506" w:rsidRDefault="008B3AB3">
            <w:pPr>
              <w:spacing w:after="0" w:line="259" w:lineRule="auto"/>
              <w:ind w:left="0" w:right="57" w:firstLine="0"/>
              <w:jc w:val="center"/>
            </w:pPr>
            <w:r>
              <w:t xml:space="preserve">-0.144 </w:t>
            </w:r>
          </w:p>
        </w:tc>
        <w:tc>
          <w:tcPr>
            <w:tcW w:w="1808" w:type="dxa"/>
            <w:tcBorders>
              <w:top w:val="single" w:sz="4" w:space="0" w:color="000000"/>
              <w:left w:val="single" w:sz="4" w:space="0" w:color="000000"/>
              <w:bottom w:val="single" w:sz="4" w:space="0" w:color="000000"/>
              <w:right w:val="single" w:sz="4" w:space="0" w:color="000000"/>
            </w:tcBorders>
            <w:vAlign w:val="center"/>
          </w:tcPr>
          <w:p w14:paraId="6522887A" w14:textId="77777777" w:rsidR="009C7506" w:rsidRDefault="008B3AB3">
            <w:pPr>
              <w:spacing w:after="0" w:line="259" w:lineRule="auto"/>
              <w:ind w:left="0" w:right="51" w:firstLine="0"/>
              <w:jc w:val="center"/>
            </w:pPr>
            <w:r>
              <w:t xml:space="preserve">0.0374 </w:t>
            </w:r>
          </w:p>
        </w:tc>
        <w:tc>
          <w:tcPr>
            <w:tcW w:w="1825" w:type="dxa"/>
            <w:tcBorders>
              <w:top w:val="single" w:sz="4" w:space="0" w:color="000000"/>
              <w:left w:val="single" w:sz="4" w:space="0" w:color="000000"/>
              <w:bottom w:val="single" w:sz="4" w:space="0" w:color="000000"/>
              <w:right w:val="single" w:sz="4" w:space="0" w:color="000000"/>
            </w:tcBorders>
            <w:vAlign w:val="center"/>
          </w:tcPr>
          <w:p w14:paraId="78DAA834" w14:textId="77777777" w:rsidR="009C7506" w:rsidRDefault="008B3AB3">
            <w:pPr>
              <w:spacing w:after="0" w:line="259" w:lineRule="auto"/>
              <w:ind w:left="0" w:right="56" w:firstLine="0"/>
              <w:jc w:val="center"/>
            </w:pPr>
            <w:r>
              <w:t xml:space="preserve">-0.142 </w:t>
            </w:r>
          </w:p>
        </w:tc>
        <w:tc>
          <w:tcPr>
            <w:tcW w:w="1807" w:type="dxa"/>
            <w:tcBorders>
              <w:top w:val="single" w:sz="4" w:space="0" w:color="000000"/>
              <w:left w:val="single" w:sz="4" w:space="0" w:color="000000"/>
              <w:bottom w:val="single" w:sz="4" w:space="0" w:color="000000"/>
              <w:right w:val="single" w:sz="4" w:space="0" w:color="000000"/>
            </w:tcBorders>
            <w:vAlign w:val="center"/>
          </w:tcPr>
          <w:p w14:paraId="7773DBB5" w14:textId="77777777" w:rsidR="009C7506" w:rsidRDefault="008B3AB3">
            <w:pPr>
              <w:spacing w:after="0" w:line="259" w:lineRule="auto"/>
              <w:ind w:left="0" w:right="50" w:firstLine="0"/>
              <w:jc w:val="center"/>
            </w:pPr>
            <w:r>
              <w:t xml:space="preserve">0.0263 </w:t>
            </w:r>
          </w:p>
        </w:tc>
      </w:tr>
      <w:tr w:rsidR="009C7506" w14:paraId="3F2F57BF" w14:textId="77777777">
        <w:trPr>
          <w:trHeight w:val="936"/>
        </w:trPr>
        <w:tc>
          <w:tcPr>
            <w:tcW w:w="0" w:type="auto"/>
            <w:vMerge/>
            <w:tcBorders>
              <w:top w:val="nil"/>
              <w:left w:val="single" w:sz="4" w:space="0" w:color="000000"/>
              <w:bottom w:val="single" w:sz="4" w:space="0" w:color="000000"/>
              <w:right w:val="single" w:sz="4" w:space="0" w:color="000000"/>
            </w:tcBorders>
          </w:tcPr>
          <w:p w14:paraId="232D53F6"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tcPr>
          <w:p w14:paraId="1CFAD60B" w14:textId="77777777" w:rsidR="009C7506" w:rsidRDefault="008B3AB3">
            <w:pPr>
              <w:spacing w:after="0" w:line="259" w:lineRule="auto"/>
              <w:ind w:left="0" w:right="53" w:firstLine="0"/>
              <w:jc w:val="center"/>
            </w:pPr>
            <w:r>
              <w:t xml:space="preserve">(-1.16) </w:t>
            </w:r>
          </w:p>
        </w:tc>
        <w:tc>
          <w:tcPr>
            <w:tcW w:w="1808" w:type="dxa"/>
            <w:tcBorders>
              <w:top w:val="single" w:sz="4" w:space="0" w:color="000000"/>
              <w:left w:val="single" w:sz="4" w:space="0" w:color="000000"/>
              <w:bottom w:val="single" w:sz="4" w:space="0" w:color="000000"/>
              <w:right w:val="single" w:sz="4" w:space="0" w:color="000000"/>
            </w:tcBorders>
          </w:tcPr>
          <w:p w14:paraId="5DF21705" w14:textId="77777777" w:rsidR="009C7506" w:rsidRDefault="008B3AB3">
            <w:pPr>
              <w:spacing w:after="0" w:line="259" w:lineRule="auto"/>
              <w:ind w:left="0" w:right="50" w:firstLine="0"/>
              <w:jc w:val="center"/>
            </w:pPr>
            <w:r>
              <w:t xml:space="preserve">(0.36) </w:t>
            </w:r>
          </w:p>
        </w:tc>
        <w:tc>
          <w:tcPr>
            <w:tcW w:w="1825" w:type="dxa"/>
            <w:tcBorders>
              <w:top w:val="single" w:sz="4" w:space="0" w:color="000000"/>
              <w:left w:val="single" w:sz="4" w:space="0" w:color="000000"/>
              <w:bottom w:val="single" w:sz="4" w:space="0" w:color="000000"/>
              <w:right w:val="single" w:sz="4" w:space="0" w:color="000000"/>
            </w:tcBorders>
          </w:tcPr>
          <w:p w14:paraId="2B6A0F68" w14:textId="77777777" w:rsidR="009C7506" w:rsidRDefault="008B3AB3">
            <w:pPr>
              <w:spacing w:after="0" w:line="259" w:lineRule="auto"/>
              <w:ind w:left="0" w:right="52" w:firstLine="0"/>
              <w:jc w:val="center"/>
            </w:pPr>
            <w:r>
              <w:t xml:space="preserve">(-1.11) </w:t>
            </w:r>
          </w:p>
        </w:tc>
        <w:tc>
          <w:tcPr>
            <w:tcW w:w="1807" w:type="dxa"/>
            <w:tcBorders>
              <w:top w:val="single" w:sz="4" w:space="0" w:color="000000"/>
              <w:left w:val="single" w:sz="4" w:space="0" w:color="000000"/>
              <w:bottom w:val="single" w:sz="4" w:space="0" w:color="000000"/>
              <w:right w:val="single" w:sz="4" w:space="0" w:color="000000"/>
            </w:tcBorders>
          </w:tcPr>
          <w:p w14:paraId="1EDDD489" w14:textId="77777777" w:rsidR="009C7506" w:rsidRDefault="008B3AB3">
            <w:pPr>
              <w:spacing w:after="0" w:line="259" w:lineRule="auto"/>
              <w:ind w:left="0" w:right="49" w:firstLine="0"/>
              <w:jc w:val="center"/>
            </w:pPr>
            <w:r>
              <w:t xml:space="preserve">(0.25) </w:t>
            </w:r>
          </w:p>
        </w:tc>
      </w:tr>
      <w:tr w:rsidR="009C7506" w14:paraId="020FD7E9"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16461B46" w14:textId="77777777" w:rsidR="009C7506" w:rsidRDefault="008B3AB3">
            <w:pPr>
              <w:spacing w:after="0" w:line="259" w:lineRule="auto"/>
              <w:ind w:left="0" w:right="0" w:firstLine="0"/>
              <w:jc w:val="center"/>
            </w:pPr>
            <w:r>
              <w:t xml:space="preserve">Liquidity capacity </w:t>
            </w:r>
          </w:p>
        </w:tc>
        <w:tc>
          <w:tcPr>
            <w:tcW w:w="1587" w:type="dxa"/>
            <w:tcBorders>
              <w:top w:val="single" w:sz="4" w:space="0" w:color="000000"/>
              <w:left w:val="single" w:sz="4" w:space="0" w:color="000000"/>
              <w:bottom w:val="single" w:sz="4" w:space="0" w:color="000000"/>
              <w:right w:val="single" w:sz="4" w:space="0" w:color="000000"/>
            </w:tcBorders>
            <w:vAlign w:val="center"/>
          </w:tcPr>
          <w:p w14:paraId="1A90FA97" w14:textId="77777777" w:rsidR="009C7506" w:rsidRDefault="008B3AB3">
            <w:pPr>
              <w:spacing w:after="0" w:line="259" w:lineRule="auto"/>
              <w:ind w:left="0" w:right="50" w:firstLine="0"/>
              <w:jc w:val="center"/>
            </w:pPr>
            <w:r>
              <w:t xml:space="preserve">0.0877 </w:t>
            </w:r>
          </w:p>
        </w:tc>
        <w:tc>
          <w:tcPr>
            <w:tcW w:w="1808" w:type="dxa"/>
            <w:tcBorders>
              <w:top w:val="single" w:sz="4" w:space="0" w:color="000000"/>
              <w:left w:val="single" w:sz="4" w:space="0" w:color="000000"/>
              <w:bottom w:val="single" w:sz="4" w:space="0" w:color="000000"/>
              <w:right w:val="single" w:sz="4" w:space="0" w:color="000000"/>
            </w:tcBorders>
            <w:vAlign w:val="center"/>
          </w:tcPr>
          <w:p w14:paraId="46EA2223" w14:textId="77777777" w:rsidR="009C7506" w:rsidRDefault="008B3AB3">
            <w:pPr>
              <w:spacing w:after="0" w:line="259" w:lineRule="auto"/>
              <w:ind w:left="0" w:right="53" w:firstLine="0"/>
              <w:jc w:val="center"/>
            </w:pPr>
            <w:r>
              <w:t>-0.562</w:t>
            </w:r>
            <w:r>
              <w:rPr>
                <w:vertAlign w:val="superscript"/>
              </w:rPr>
              <w:t>*</w:t>
            </w: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1F2C63CC" w14:textId="77777777" w:rsidR="009C7506" w:rsidRDefault="008B3AB3">
            <w:pPr>
              <w:spacing w:after="0" w:line="259" w:lineRule="auto"/>
              <w:ind w:left="0" w:right="49" w:firstLine="0"/>
              <w:jc w:val="center"/>
            </w:pPr>
            <w:r>
              <w:t xml:space="preserve">0.184 </w:t>
            </w:r>
          </w:p>
        </w:tc>
        <w:tc>
          <w:tcPr>
            <w:tcW w:w="1807" w:type="dxa"/>
            <w:tcBorders>
              <w:top w:val="single" w:sz="4" w:space="0" w:color="000000"/>
              <w:left w:val="single" w:sz="4" w:space="0" w:color="000000"/>
              <w:bottom w:val="single" w:sz="4" w:space="0" w:color="000000"/>
              <w:right w:val="single" w:sz="4" w:space="0" w:color="000000"/>
            </w:tcBorders>
            <w:vAlign w:val="center"/>
          </w:tcPr>
          <w:p w14:paraId="04FD3CBD" w14:textId="77777777" w:rsidR="009C7506" w:rsidRDefault="008B3AB3">
            <w:pPr>
              <w:spacing w:after="0" w:line="259" w:lineRule="auto"/>
              <w:ind w:left="0" w:right="53" w:firstLine="0"/>
              <w:jc w:val="center"/>
            </w:pPr>
            <w:r>
              <w:t>-0.590</w:t>
            </w:r>
            <w:r>
              <w:rPr>
                <w:vertAlign w:val="superscript"/>
              </w:rPr>
              <w:t>*</w:t>
            </w:r>
            <w:r>
              <w:t xml:space="preserve"> </w:t>
            </w:r>
          </w:p>
        </w:tc>
      </w:tr>
      <w:tr w:rsidR="009C7506" w14:paraId="440BF7CE" w14:textId="77777777">
        <w:trPr>
          <w:trHeight w:val="478"/>
        </w:trPr>
        <w:tc>
          <w:tcPr>
            <w:tcW w:w="0" w:type="auto"/>
            <w:vMerge/>
            <w:tcBorders>
              <w:top w:val="nil"/>
              <w:left w:val="single" w:sz="4" w:space="0" w:color="000000"/>
              <w:bottom w:val="single" w:sz="4" w:space="0" w:color="000000"/>
              <w:right w:val="single" w:sz="4" w:space="0" w:color="000000"/>
            </w:tcBorders>
          </w:tcPr>
          <w:p w14:paraId="34DAB06E"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44AF3AF0" w14:textId="77777777" w:rsidR="009C7506" w:rsidRDefault="008B3AB3">
            <w:pPr>
              <w:spacing w:after="0" w:line="259" w:lineRule="auto"/>
              <w:ind w:left="0" w:right="53" w:firstLine="0"/>
              <w:jc w:val="center"/>
            </w:pPr>
            <w:r>
              <w:t xml:space="preserve">(0.26) </w:t>
            </w:r>
          </w:p>
        </w:tc>
        <w:tc>
          <w:tcPr>
            <w:tcW w:w="1808" w:type="dxa"/>
            <w:tcBorders>
              <w:top w:val="single" w:sz="4" w:space="0" w:color="000000"/>
              <w:left w:val="single" w:sz="4" w:space="0" w:color="000000"/>
              <w:bottom w:val="single" w:sz="4" w:space="0" w:color="000000"/>
              <w:right w:val="single" w:sz="4" w:space="0" w:color="000000"/>
            </w:tcBorders>
            <w:vAlign w:val="center"/>
          </w:tcPr>
          <w:p w14:paraId="1174E4E7" w14:textId="77777777" w:rsidR="009C7506" w:rsidRDefault="008B3AB3">
            <w:pPr>
              <w:spacing w:after="0" w:line="259" w:lineRule="auto"/>
              <w:ind w:left="0" w:firstLine="0"/>
              <w:jc w:val="center"/>
            </w:pPr>
            <w:r>
              <w:t xml:space="preserve">(-1.98) </w:t>
            </w:r>
          </w:p>
        </w:tc>
        <w:tc>
          <w:tcPr>
            <w:tcW w:w="1825" w:type="dxa"/>
            <w:tcBorders>
              <w:top w:val="single" w:sz="4" w:space="0" w:color="000000"/>
              <w:left w:val="single" w:sz="4" w:space="0" w:color="000000"/>
              <w:bottom w:val="single" w:sz="4" w:space="0" w:color="000000"/>
              <w:right w:val="single" w:sz="4" w:space="0" w:color="000000"/>
            </w:tcBorders>
            <w:vAlign w:val="center"/>
          </w:tcPr>
          <w:p w14:paraId="4C7E31FB" w14:textId="77777777" w:rsidR="009C7506" w:rsidRDefault="008B3AB3">
            <w:pPr>
              <w:spacing w:after="0" w:line="259" w:lineRule="auto"/>
              <w:ind w:left="0" w:right="52" w:firstLine="0"/>
              <w:jc w:val="center"/>
            </w:pPr>
            <w:r>
              <w:t xml:space="preserve">(0.52) </w:t>
            </w:r>
          </w:p>
        </w:tc>
        <w:tc>
          <w:tcPr>
            <w:tcW w:w="1807" w:type="dxa"/>
            <w:tcBorders>
              <w:top w:val="single" w:sz="4" w:space="0" w:color="000000"/>
              <w:left w:val="single" w:sz="4" w:space="0" w:color="000000"/>
              <w:bottom w:val="single" w:sz="4" w:space="0" w:color="000000"/>
              <w:right w:val="single" w:sz="4" w:space="0" w:color="000000"/>
            </w:tcBorders>
            <w:vAlign w:val="center"/>
          </w:tcPr>
          <w:p w14:paraId="20504FA4" w14:textId="77777777" w:rsidR="009C7506" w:rsidRDefault="008B3AB3">
            <w:pPr>
              <w:spacing w:after="0" w:line="259" w:lineRule="auto"/>
              <w:ind w:left="0" w:firstLine="0"/>
              <w:jc w:val="center"/>
            </w:pPr>
            <w:r>
              <w:t xml:space="preserve">(-2.03) </w:t>
            </w:r>
          </w:p>
        </w:tc>
      </w:tr>
      <w:tr w:rsidR="009C7506" w14:paraId="31014EFB"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1A2E80A4" w14:textId="77777777" w:rsidR="009C7506" w:rsidRDefault="008B3AB3">
            <w:pPr>
              <w:spacing w:after="0" w:line="259" w:lineRule="auto"/>
              <w:ind w:left="0" w:right="0" w:firstLine="0"/>
              <w:jc w:val="center"/>
            </w:pPr>
            <w:r>
              <w:t xml:space="preserve">Profitability </w:t>
            </w:r>
          </w:p>
        </w:tc>
        <w:tc>
          <w:tcPr>
            <w:tcW w:w="1587" w:type="dxa"/>
            <w:tcBorders>
              <w:top w:val="single" w:sz="4" w:space="0" w:color="000000"/>
              <w:left w:val="single" w:sz="4" w:space="0" w:color="000000"/>
              <w:bottom w:val="single" w:sz="4" w:space="0" w:color="000000"/>
              <w:right w:val="single" w:sz="4" w:space="0" w:color="000000"/>
            </w:tcBorders>
            <w:vAlign w:val="center"/>
          </w:tcPr>
          <w:p w14:paraId="0509CF26" w14:textId="77777777" w:rsidR="009C7506" w:rsidRDefault="008B3AB3">
            <w:pPr>
              <w:spacing w:after="0" w:line="259" w:lineRule="auto"/>
              <w:ind w:left="0" w:right="7" w:firstLine="0"/>
              <w:jc w:val="center"/>
            </w:pPr>
            <w:r>
              <w:t xml:space="preserve">-2.039 </w:t>
            </w:r>
          </w:p>
        </w:tc>
        <w:tc>
          <w:tcPr>
            <w:tcW w:w="1808" w:type="dxa"/>
            <w:tcBorders>
              <w:top w:val="single" w:sz="4" w:space="0" w:color="000000"/>
              <w:left w:val="single" w:sz="4" w:space="0" w:color="000000"/>
              <w:bottom w:val="single" w:sz="4" w:space="0" w:color="000000"/>
              <w:right w:val="single" w:sz="4" w:space="0" w:color="000000"/>
            </w:tcBorders>
            <w:vAlign w:val="center"/>
          </w:tcPr>
          <w:p w14:paraId="645CA7CA" w14:textId="77777777" w:rsidR="009C7506" w:rsidRDefault="008B3AB3">
            <w:pPr>
              <w:spacing w:after="0" w:line="259" w:lineRule="auto"/>
              <w:ind w:left="0" w:right="0" w:firstLine="0"/>
              <w:jc w:val="center"/>
            </w:pPr>
            <w:r>
              <w:t xml:space="preserve">0.162 </w:t>
            </w:r>
          </w:p>
        </w:tc>
        <w:tc>
          <w:tcPr>
            <w:tcW w:w="1825" w:type="dxa"/>
            <w:tcBorders>
              <w:top w:val="single" w:sz="4" w:space="0" w:color="000000"/>
              <w:left w:val="single" w:sz="4" w:space="0" w:color="000000"/>
              <w:bottom w:val="single" w:sz="4" w:space="0" w:color="000000"/>
              <w:right w:val="single" w:sz="4" w:space="0" w:color="000000"/>
            </w:tcBorders>
            <w:vAlign w:val="center"/>
          </w:tcPr>
          <w:p w14:paraId="519DD90F" w14:textId="77777777" w:rsidR="009C7506" w:rsidRDefault="008B3AB3">
            <w:pPr>
              <w:spacing w:after="0" w:line="259" w:lineRule="auto"/>
              <w:ind w:left="0" w:right="5" w:firstLine="0"/>
              <w:jc w:val="center"/>
            </w:pPr>
            <w:r>
              <w:t xml:space="preserve">-1.596 </w:t>
            </w:r>
          </w:p>
        </w:tc>
        <w:tc>
          <w:tcPr>
            <w:tcW w:w="1807" w:type="dxa"/>
            <w:tcBorders>
              <w:top w:val="single" w:sz="4" w:space="0" w:color="000000"/>
              <w:left w:val="single" w:sz="4" w:space="0" w:color="000000"/>
              <w:bottom w:val="single" w:sz="4" w:space="0" w:color="000000"/>
              <w:right w:val="single" w:sz="4" w:space="0" w:color="000000"/>
            </w:tcBorders>
            <w:vAlign w:val="center"/>
          </w:tcPr>
          <w:p w14:paraId="2F9CE4C6" w14:textId="77777777" w:rsidR="009C7506" w:rsidRDefault="008B3AB3">
            <w:pPr>
              <w:spacing w:after="0" w:line="259" w:lineRule="auto"/>
              <w:ind w:left="0" w:right="2" w:firstLine="0"/>
              <w:jc w:val="center"/>
            </w:pPr>
            <w:r>
              <w:t xml:space="preserve">-0.155 </w:t>
            </w:r>
          </w:p>
        </w:tc>
      </w:tr>
      <w:tr w:rsidR="009C7506" w14:paraId="7191C63D" w14:textId="77777777">
        <w:trPr>
          <w:trHeight w:val="478"/>
        </w:trPr>
        <w:tc>
          <w:tcPr>
            <w:tcW w:w="0" w:type="auto"/>
            <w:vMerge/>
            <w:tcBorders>
              <w:top w:val="nil"/>
              <w:left w:val="single" w:sz="4" w:space="0" w:color="000000"/>
              <w:bottom w:val="single" w:sz="4" w:space="0" w:color="000000"/>
              <w:right w:val="single" w:sz="4" w:space="0" w:color="000000"/>
            </w:tcBorders>
          </w:tcPr>
          <w:p w14:paraId="1A3FBEDD"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1A89E94C" w14:textId="77777777" w:rsidR="009C7506" w:rsidRDefault="008B3AB3">
            <w:pPr>
              <w:spacing w:after="0" w:line="259" w:lineRule="auto"/>
              <w:ind w:left="0" w:right="3" w:firstLine="0"/>
              <w:jc w:val="center"/>
            </w:pPr>
            <w:r>
              <w:t>(-</w:t>
            </w:r>
            <w:r>
              <w:t xml:space="preserve">0.99) </w:t>
            </w:r>
          </w:p>
        </w:tc>
        <w:tc>
          <w:tcPr>
            <w:tcW w:w="1808" w:type="dxa"/>
            <w:tcBorders>
              <w:top w:val="single" w:sz="4" w:space="0" w:color="000000"/>
              <w:left w:val="single" w:sz="4" w:space="0" w:color="000000"/>
              <w:bottom w:val="single" w:sz="4" w:space="0" w:color="000000"/>
              <w:right w:val="single" w:sz="4" w:space="0" w:color="000000"/>
            </w:tcBorders>
            <w:vAlign w:val="center"/>
          </w:tcPr>
          <w:p w14:paraId="37C7C740" w14:textId="77777777" w:rsidR="009C7506" w:rsidRDefault="008B3AB3">
            <w:pPr>
              <w:spacing w:after="0" w:line="259" w:lineRule="auto"/>
              <w:ind w:left="1" w:right="0" w:firstLine="0"/>
              <w:jc w:val="center"/>
            </w:pPr>
            <w:r>
              <w:t xml:space="preserve">(0.09) </w:t>
            </w:r>
          </w:p>
        </w:tc>
        <w:tc>
          <w:tcPr>
            <w:tcW w:w="1825" w:type="dxa"/>
            <w:tcBorders>
              <w:top w:val="single" w:sz="4" w:space="0" w:color="000000"/>
              <w:left w:val="single" w:sz="4" w:space="0" w:color="000000"/>
              <w:bottom w:val="single" w:sz="4" w:space="0" w:color="000000"/>
              <w:right w:val="single" w:sz="4" w:space="0" w:color="000000"/>
            </w:tcBorders>
            <w:vAlign w:val="center"/>
          </w:tcPr>
          <w:p w14:paraId="0633B666" w14:textId="77777777" w:rsidR="009C7506" w:rsidRDefault="008B3AB3">
            <w:pPr>
              <w:spacing w:after="0" w:line="259" w:lineRule="auto"/>
              <w:ind w:left="0" w:right="1" w:firstLine="0"/>
              <w:jc w:val="center"/>
            </w:pPr>
            <w:r>
              <w:t xml:space="preserve">(-0.74) </w:t>
            </w:r>
          </w:p>
        </w:tc>
        <w:tc>
          <w:tcPr>
            <w:tcW w:w="1807" w:type="dxa"/>
            <w:tcBorders>
              <w:top w:val="single" w:sz="4" w:space="0" w:color="000000"/>
              <w:left w:val="single" w:sz="4" w:space="0" w:color="000000"/>
              <w:bottom w:val="single" w:sz="4" w:space="0" w:color="000000"/>
              <w:right w:val="single" w:sz="4" w:space="0" w:color="000000"/>
            </w:tcBorders>
            <w:vAlign w:val="center"/>
          </w:tcPr>
          <w:p w14:paraId="08E919DC" w14:textId="77777777" w:rsidR="009C7506" w:rsidRDefault="008B3AB3">
            <w:pPr>
              <w:spacing w:after="0" w:line="259" w:lineRule="auto"/>
              <w:ind w:left="0" w:right="3" w:firstLine="0"/>
              <w:jc w:val="center"/>
            </w:pPr>
            <w:r>
              <w:t xml:space="preserve">(-0.09) </w:t>
            </w:r>
          </w:p>
        </w:tc>
      </w:tr>
      <w:tr w:rsidR="009C7506" w14:paraId="54C78786"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006F10A5" w14:textId="77777777" w:rsidR="009C7506" w:rsidRDefault="008B3AB3">
            <w:pPr>
              <w:spacing w:after="0" w:line="259" w:lineRule="auto"/>
              <w:ind w:left="0" w:right="0" w:firstLine="0"/>
              <w:jc w:val="center"/>
            </w:pPr>
            <w:r>
              <w:t xml:space="preserve">Operational factors </w:t>
            </w:r>
          </w:p>
        </w:tc>
        <w:tc>
          <w:tcPr>
            <w:tcW w:w="1587" w:type="dxa"/>
            <w:tcBorders>
              <w:top w:val="single" w:sz="4" w:space="0" w:color="000000"/>
              <w:left w:val="single" w:sz="4" w:space="0" w:color="000000"/>
              <w:bottom w:val="single" w:sz="4" w:space="0" w:color="000000"/>
              <w:right w:val="single" w:sz="4" w:space="0" w:color="000000"/>
            </w:tcBorders>
            <w:vAlign w:val="center"/>
          </w:tcPr>
          <w:p w14:paraId="3FDE2E6F" w14:textId="77777777" w:rsidR="009C7506" w:rsidRDefault="008B3AB3">
            <w:pPr>
              <w:spacing w:after="0" w:line="259" w:lineRule="auto"/>
              <w:ind w:left="1" w:right="0" w:firstLine="0"/>
              <w:jc w:val="center"/>
            </w:pPr>
            <w:r>
              <w:t xml:space="preserve">0.272 </w:t>
            </w:r>
          </w:p>
        </w:tc>
        <w:tc>
          <w:tcPr>
            <w:tcW w:w="1808" w:type="dxa"/>
            <w:tcBorders>
              <w:top w:val="single" w:sz="4" w:space="0" w:color="000000"/>
              <w:left w:val="single" w:sz="4" w:space="0" w:color="000000"/>
              <w:bottom w:val="single" w:sz="4" w:space="0" w:color="000000"/>
              <w:right w:val="single" w:sz="4" w:space="0" w:color="000000"/>
            </w:tcBorders>
            <w:vAlign w:val="center"/>
          </w:tcPr>
          <w:p w14:paraId="49A81D69" w14:textId="77777777" w:rsidR="009C7506" w:rsidRDefault="008B3AB3">
            <w:pPr>
              <w:spacing w:after="0" w:line="259" w:lineRule="auto"/>
              <w:ind w:left="0" w:right="0" w:firstLine="0"/>
              <w:jc w:val="center"/>
            </w:pPr>
            <w:r>
              <w:t xml:space="preserve">1.068 </w:t>
            </w:r>
          </w:p>
        </w:tc>
        <w:tc>
          <w:tcPr>
            <w:tcW w:w="1825" w:type="dxa"/>
            <w:tcBorders>
              <w:top w:val="single" w:sz="4" w:space="0" w:color="000000"/>
              <w:left w:val="single" w:sz="4" w:space="0" w:color="000000"/>
              <w:bottom w:val="single" w:sz="4" w:space="0" w:color="000000"/>
              <w:right w:val="single" w:sz="4" w:space="0" w:color="000000"/>
            </w:tcBorders>
            <w:vAlign w:val="center"/>
          </w:tcPr>
          <w:p w14:paraId="517D1637" w14:textId="77777777" w:rsidR="009C7506" w:rsidRDefault="008B3AB3">
            <w:pPr>
              <w:spacing w:after="0" w:line="259" w:lineRule="auto"/>
              <w:ind w:left="2" w:right="0" w:firstLine="0"/>
              <w:jc w:val="center"/>
            </w:pPr>
            <w:r>
              <w:t xml:space="preserve">0.359 </w:t>
            </w:r>
          </w:p>
        </w:tc>
        <w:tc>
          <w:tcPr>
            <w:tcW w:w="1807" w:type="dxa"/>
            <w:tcBorders>
              <w:top w:val="single" w:sz="4" w:space="0" w:color="000000"/>
              <w:left w:val="single" w:sz="4" w:space="0" w:color="000000"/>
              <w:bottom w:val="single" w:sz="4" w:space="0" w:color="000000"/>
              <w:right w:val="single" w:sz="4" w:space="0" w:color="000000"/>
            </w:tcBorders>
            <w:vAlign w:val="center"/>
          </w:tcPr>
          <w:p w14:paraId="46CA2A5A" w14:textId="77777777" w:rsidR="009C7506" w:rsidRDefault="008B3AB3">
            <w:pPr>
              <w:spacing w:after="0" w:line="259" w:lineRule="auto"/>
              <w:ind w:left="0" w:right="0" w:firstLine="0"/>
              <w:jc w:val="center"/>
            </w:pPr>
            <w:r>
              <w:t xml:space="preserve">0.912 </w:t>
            </w:r>
          </w:p>
        </w:tc>
      </w:tr>
      <w:tr w:rsidR="009C7506" w14:paraId="554D4474" w14:textId="77777777">
        <w:trPr>
          <w:trHeight w:val="480"/>
        </w:trPr>
        <w:tc>
          <w:tcPr>
            <w:tcW w:w="0" w:type="auto"/>
            <w:vMerge/>
            <w:tcBorders>
              <w:top w:val="nil"/>
              <w:left w:val="single" w:sz="4" w:space="0" w:color="000000"/>
              <w:bottom w:val="single" w:sz="4" w:space="0" w:color="000000"/>
              <w:right w:val="single" w:sz="4" w:space="0" w:color="000000"/>
            </w:tcBorders>
          </w:tcPr>
          <w:p w14:paraId="05A70ECD"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74EF9042" w14:textId="77777777" w:rsidR="009C7506" w:rsidRDefault="008B3AB3">
            <w:pPr>
              <w:spacing w:after="0" w:line="259" w:lineRule="auto"/>
              <w:ind w:left="0" w:right="3" w:firstLine="0"/>
              <w:jc w:val="center"/>
            </w:pPr>
            <w:r>
              <w:t xml:space="preserve">(0.30) </w:t>
            </w:r>
          </w:p>
        </w:tc>
        <w:tc>
          <w:tcPr>
            <w:tcW w:w="1808" w:type="dxa"/>
            <w:tcBorders>
              <w:top w:val="single" w:sz="4" w:space="0" w:color="000000"/>
              <w:left w:val="single" w:sz="4" w:space="0" w:color="000000"/>
              <w:bottom w:val="single" w:sz="4" w:space="0" w:color="000000"/>
              <w:right w:val="single" w:sz="4" w:space="0" w:color="000000"/>
            </w:tcBorders>
            <w:vAlign w:val="center"/>
          </w:tcPr>
          <w:p w14:paraId="257E2040" w14:textId="77777777" w:rsidR="009C7506" w:rsidRDefault="008B3AB3">
            <w:pPr>
              <w:spacing w:after="0" w:line="259" w:lineRule="auto"/>
              <w:ind w:left="1" w:right="0" w:firstLine="0"/>
              <w:jc w:val="center"/>
            </w:pPr>
            <w:r>
              <w:t xml:space="preserve">(1.41) </w:t>
            </w:r>
          </w:p>
        </w:tc>
        <w:tc>
          <w:tcPr>
            <w:tcW w:w="1825" w:type="dxa"/>
            <w:tcBorders>
              <w:top w:val="single" w:sz="4" w:space="0" w:color="000000"/>
              <w:left w:val="single" w:sz="4" w:space="0" w:color="000000"/>
              <w:bottom w:val="single" w:sz="4" w:space="0" w:color="000000"/>
              <w:right w:val="single" w:sz="4" w:space="0" w:color="000000"/>
            </w:tcBorders>
            <w:vAlign w:val="center"/>
          </w:tcPr>
          <w:p w14:paraId="72A7FCDB" w14:textId="77777777" w:rsidR="009C7506" w:rsidRDefault="008B3AB3">
            <w:pPr>
              <w:spacing w:after="0" w:line="259" w:lineRule="auto"/>
              <w:ind w:left="0" w:right="2" w:firstLine="0"/>
              <w:jc w:val="center"/>
            </w:pPr>
            <w:r>
              <w:t xml:space="preserve">(0.38) </w:t>
            </w:r>
          </w:p>
        </w:tc>
        <w:tc>
          <w:tcPr>
            <w:tcW w:w="1807" w:type="dxa"/>
            <w:tcBorders>
              <w:top w:val="single" w:sz="4" w:space="0" w:color="000000"/>
              <w:left w:val="single" w:sz="4" w:space="0" w:color="000000"/>
              <w:bottom w:val="single" w:sz="4" w:space="0" w:color="000000"/>
              <w:right w:val="single" w:sz="4" w:space="0" w:color="000000"/>
            </w:tcBorders>
            <w:vAlign w:val="center"/>
          </w:tcPr>
          <w:p w14:paraId="319C53F2" w14:textId="77777777" w:rsidR="009C7506" w:rsidRDefault="008B3AB3">
            <w:pPr>
              <w:spacing w:after="0" w:line="259" w:lineRule="auto"/>
              <w:ind w:left="1" w:right="0" w:firstLine="0"/>
              <w:jc w:val="center"/>
            </w:pPr>
            <w:r>
              <w:t xml:space="preserve">(1.15) </w:t>
            </w:r>
          </w:p>
        </w:tc>
      </w:tr>
      <w:tr w:rsidR="009C7506" w14:paraId="602D8E79"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1047F24E" w14:textId="77777777" w:rsidR="009C7506" w:rsidRDefault="008B3AB3">
            <w:pPr>
              <w:spacing w:after="0" w:line="259" w:lineRule="auto"/>
              <w:ind w:left="0" w:right="0" w:firstLine="0"/>
              <w:jc w:val="center"/>
            </w:pPr>
            <w:r>
              <w:rPr>
                <w:i/>
              </w:rPr>
              <w:t>GDP</w:t>
            </w:r>
            <w: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33275DD9" w14:textId="77777777" w:rsidR="009C7506" w:rsidRDefault="008B3AB3">
            <w:pPr>
              <w:spacing w:after="0" w:line="259" w:lineRule="auto"/>
              <w:ind w:left="53" w:right="0" w:firstLine="0"/>
              <w:jc w:val="center"/>
            </w:pPr>
            <w:r>
              <w:t xml:space="preserve"> </w:t>
            </w:r>
          </w:p>
        </w:tc>
        <w:tc>
          <w:tcPr>
            <w:tcW w:w="1808" w:type="dxa"/>
            <w:tcBorders>
              <w:top w:val="single" w:sz="4" w:space="0" w:color="000000"/>
              <w:left w:val="single" w:sz="4" w:space="0" w:color="000000"/>
              <w:bottom w:val="single" w:sz="4" w:space="0" w:color="000000"/>
              <w:right w:val="single" w:sz="4" w:space="0" w:color="000000"/>
            </w:tcBorders>
            <w:vAlign w:val="center"/>
          </w:tcPr>
          <w:p w14:paraId="08481A90" w14:textId="77777777" w:rsidR="009C7506" w:rsidRDefault="008B3AB3">
            <w:pPr>
              <w:spacing w:after="0" w:line="259" w:lineRule="auto"/>
              <w:ind w:left="52" w:right="0" w:firstLine="0"/>
              <w:jc w:val="center"/>
            </w:pP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512FB9CA" w14:textId="77777777" w:rsidR="009C7506" w:rsidRDefault="008B3AB3">
            <w:pPr>
              <w:spacing w:after="0" w:line="259" w:lineRule="auto"/>
              <w:ind w:left="0" w:right="3" w:firstLine="0"/>
              <w:jc w:val="center"/>
            </w:pPr>
            <w:r>
              <w:t xml:space="preserve">4.75e-11 </w:t>
            </w:r>
          </w:p>
        </w:tc>
        <w:tc>
          <w:tcPr>
            <w:tcW w:w="1807" w:type="dxa"/>
            <w:tcBorders>
              <w:top w:val="single" w:sz="4" w:space="0" w:color="000000"/>
              <w:left w:val="single" w:sz="4" w:space="0" w:color="000000"/>
              <w:bottom w:val="single" w:sz="4" w:space="0" w:color="000000"/>
              <w:right w:val="single" w:sz="4" w:space="0" w:color="000000"/>
            </w:tcBorders>
            <w:vAlign w:val="center"/>
          </w:tcPr>
          <w:p w14:paraId="2EF74C0E" w14:textId="77777777" w:rsidR="009C7506" w:rsidRDefault="008B3AB3">
            <w:pPr>
              <w:spacing w:after="0" w:line="259" w:lineRule="auto"/>
              <w:ind w:left="0" w:right="2" w:firstLine="0"/>
              <w:jc w:val="center"/>
            </w:pPr>
            <w:r>
              <w:t>2.19e-09</w:t>
            </w:r>
            <w:r>
              <w:rPr>
                <w:vertAlign w:val="superscript"/>
              </w:rPr>
              <w:t>**</w:t>
            </w:r>
            <w:r>
              <w:t xml:space="preserve"> </w:t>
            </w:r>
          </w:p>
        </w:tc>
      </w:tr>
      <w:tr w:rsidR="009C7506" w14:paraId="4F0B0C76" w14:textId="77777777">
        <w:trPr>
          <w:trHeight w:val="478"/>
        </w:trPr>
        <w:tc>
          <w:tcPr>
            <w:tcW w:w="0" w:type="auto"/>
            <w:vMerge/>
            <w:tcBorders>
              <w:top w:val="nil"/>
              <w:left w:val="single" w:sz="4" w:space="0" w:color="000000"/>
              <w:bottom w:val="single" w:sz="4" w:space="0" w:color="000000"/>
              <w:right w:val="single" w:sz="4" w:space="0" w:color="000000"/>
            </w:tcBorders>
          </w:tcPr>
          <w:p w14:paraId="4EBFAC8B"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2A4B429D" w14:textId="77777777" w:rsidR="009C7506" w:rsidRDefault="008B3AB3">
            <w:pPr>
              <w:spacing w:after="0" w:line="259" w:lineRule="auto"/>
              <w:ind w:left="53" w:right="0" w:firstLine="0"/>
              <w:jc w:val="center"/>
            </w:pPr>
            <w:r>
              <w:t xml:space="preserve"> </w:t>
            </w:r>
          </w:p>
        </w:tc>
        <w:tc>
          <w:tcPr>
            <w:tcW w:w="1808" w:type="dxa"/>
            <w:tcBorders>
              <w:top w:val="single" w:sz="4" w:space="0" w:color="000000"/>
              <w:left w:val="single" w:sz="4" w:space="0" w:color="000000"/>
              <w:bottom w:val="single" w:sz="4" w:space="0" w:color="000000"/>
              <w:right w:val="single" w:sz="4" w:space="0" w:color="000000"/>
            </w:tcBorders>
            <w:vAlign w:val="center"/>
          </w:tcPr>
          <w:p w14:paraId="24474D04" w14:textId="77777777" w:rsidR="009C7506" w:rsidRDefault="008B3AB3">
            <w:pPr>
              <w:spacing w:after="0" w:line="259" w:lineRule="auto"/>
              <w:ind w:left="52" w:right="0" w:firstLine="0"/>
              <w:jc w:val="center"/>
            </w:pP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5E624CF8" w14:textId="77777777" w:rsidR="009C7506" w:rsidRDefault="008B3AB3">
            <w:pPr>
              <w:spacing w:after="0" w:line="259" w:lineRule="auto"/>
              <w:ind w:left="0" w:right="2" w:firstLine="0"/>
              <w:jc w:val="center"/>
            </w:pPr>
            <w:r>
              <w:t xml:space="preserve">(0.05) </w:t>
            </w:r>
          </w:p>
        </w:tc>
        <w:tc>
          <w:tcPr>
            <w:tcW w:w="1807" w:type="dxa"/>
            <w:tcBorders>
              <w:top w:val="single" w:sz="4" w:space="0" w:color="000000"/>
              <w:left w:val="single" w:sz="4" w:space="0" w:color="000000"/>
              <w:bottom w:val="single" w:sz="4" w:space="0" w:color="000000"/>
              <w:right w:val="single" w:sz="4" w:space="0" w:color="000000"/>
            </w:tcBorders>
            <w:vAlign w:val="center"/>
          </w:tcPr>
          <w:p w14:paraId="7C2FC0F9" w14:textId="77777777" w:rsidR="009C7506" w:rsidRDefault="008B3AB3">
            <w:pPr>
              <w:spacing w:after="0" w:line="259" w:lineRule="auto"/>
              <w:ind w:left="1" w:right="0" w:firstLine="0"/>
              <w:jc w:val="center"/>
            </w:pPr>
            <w:r>
              <w:t xml:space="preserve">(2.67) </w:t>
            </w:r>
          </w:p>
        </w:tc>
      </w:tr>
      <w:tr w:rsidR="009C7506" w14:paraId="17B2D37D" w14:textId="77777777">
        <w:trPr>
          <w:trHeight w:val="478"/>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75E9FC61" w14:textId="77777777" w:rsidR="009C7506" w:rsidRDefault="008B3AB3">
            <w:pPr>
              <w:spacing w:after="0" w:line="259" w:lineRule="auto"/>
              <w:ind w:left="1" w:right="0" w:firstLine="0"/>
              <w:jc w:val="center"/>
            </w:pPr>
            <w:r>
              <w:rPr>
                <w:i/>
              </w:rPr>
              <w:t>LTD</w:t>
            </w:r>
            <w: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2C841C8F" w14:textId="77777777" w:rsidR="009C7506" w:rsidRDefault="008B3AB3">
            <w:pPr>
              <w:spacing w:after="0" w:line="259" w:lineRule="auto"/>
              <w:ind w:left="53" w:right="0" w:firstLine="0"/>
              <w:jc w:val="center"/>
            </w:pPr>
            <w:r>
              <w:t xml:space="preserve"> </w:t>
            </w:r>
          </w:p>
        </w:tc>
        <w:tc>
          <w:tcPr>
            <w:tcW w:w="1808" w:type="dxa"/>
            <w:tcBorders>
              <w:top w:val="single" w:sz="4" w:space="0" w:color="000000"/>
              <w:left w:val="single" w:sz="4" w:space="0" w:color="000000"/>
              <w:bottom w:val="single" w:sz="4" w:space="0" w:color="000000"/>
              <w:right w:val="single" w:sz="4" w:space="0" w:color="000000"/>
            </w:tcBorders>
            <w:vAlign w:val="center"/>
          </w:tcPr>
          <w:p w14:paraId="63487596" w14:textId="77777777" w:rsidR="009C7506" w:rsidRDefault="008B3AB3">
            <w:pPr>
              <w:spacing w:after="0" w:line="259" w:lineRule="auto"/>
              <w:ind w:left="52" w:right="0" w:firstLine="0"/>
              <w:jc w:val="center"/>
            </w:pP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6DD3DAF3" w14:textId="77777777" w:rsidR="009C7506" w:rsidRDefault="008B3AB3">
            <w:pPr>
              <w:spacing w:after="0" w:line="259" w:lineRule="auto"/>
              <w:ind w:left="0" w:right="1" w:firstLine="0"/>
              <w:jc w:val="center"/>
            </w:pPr>
            <w:r>
              <w:t xml:space="preserve">-0.0000194 </w:t>
            </w:r>
          </w:p>
        </w:tc>
        <w:tc>
          <w:tcPr>
            <w:tcW w:w="1807" w:type="dxa"/>
            <w:tcBorders>
              <w:top w:val="single" w:sz="4" w:space="0" w:color="000000"/>
              <w:left w:val="single" w:sz="4" w:space="0" w:color="000000"/>
              <w:bottom w:val="single" w:sz="4" w:space="0" w:color="000000"/>
              <w:right w:val="single" w:sz="4" w:space="0" w:color="000000"/>
            </w:tcBorders>
            <w:vAlign w:val="center"/>
          </w:tcPr>
          <w:p w14:paraId="738385D9" w14:textId="77777777" w:rsidR="009C7506" w:rsidRDefault="008B3AB3">
            <w:pPr>
              <w:spacing w:after="0" w:line="259" w:lineRule="auto"/>
              <w:ind w:left="0" w:right="2" w:firstLine="0"/>
              <w:jc w:val="center"/>
            </w:pPr>
            <w:r>
              <w:t xml:space="preserve">-0.000203 </w:t>
            </w:r>
          </w:p>
        </w:tc>
      </w:tr>
      <w:tr w:rsidR="009C7506" w14:paraId="1882FCC8" w14:textId="77777777">
        <w:trPr>
          <w:trHeight w:val="478"/>
        </w:trPr>
        <w:tc>
          <w:tcPr>
            <w:tcW w:w="0" w:type="auto"/>
            <w:vMerge/>
            <w:tcBorders>
              <w:top w:val="nil"/>
              <w:left w:val="single" w:sz="4" w:space="0" w:color="000000"/>
              <w:bottom w:val="single" w:sz="4" w:space="0" w:color="000000"/>
              <w:right w:val="single" w:sz="4" w:space="0" w:color="000000"/>
            </w:tcBorders>
          </w:tcPr>
          <w:p w14:paraId="42682D6A"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31A30E88" w14:textId="77777777" w:rsidR="009C7506" w:rsidRDefault="008B3AB3">
            <w:pPr>
              <w:spacing w:after="0" w:line="259" w:lineRule="auto"/>
              <w:ind w:left="53" w:right="0" w:firstLine="0"/>
              <w:jc w:val="center"/>
            </w:pPr>
            <w:r>
              <w:t xml:space="preserve"> </w:t>
            </w:r>
          </w:p>
        </w:tc>
        <w:tc>
          <w:tcPr>
            <w:tcW w:w="1808" w:type="dxa"/>
            <w:tcBorders>
              <w:top w:val="single" w:sz="4" w:space="0" w:color="000000"/>
              <w:left w:val="single" w:sz="4" w:space="0" w:color="000000"/>
              <w:bottom w:val="single" w:sz="4" w:space="0" w:color="000000"/>
              <w:right w:val="single" w:sz="4" w:space="0" w:color="000000"/>
            </w:tcBorders>
            <w:vAlign w:val="center"/>
          </w:tcPr>
          <w:p w14:paraId="577134C5" w14:textId="77777777" w:rsidR="009C7506" w:rsidRDefault="008B3AB3">
            <w:pPr>
              <w:spacing w:after="0" w:line="259" w:lineRule="auto"/>
              <w:ind w:left="52" w:right="0" w:firstLine="0"/>
              <w:jc w:val="center"/>
            </w:pP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2D0260B4" w14:textId="77777777" w:rsidR="009C7506" w:rsidRDefault="008B3AB3">
            <w:pPr>
              <w:spacing w:after="0" w:line="259" w:lineRule="auto"/>
              <w:ind w:left="0" w:right="1" w:firstLine="0"/>
              <w:jc w:val="center"/>
            </w:pPr>
            <w:r>
              <w:t xml:space="preserve">(-0.02) </w:t>
            </w:r>
          </w:p>
        </w:tc>
        <w:tc>
          <w:tcPr>
            <w:tcW w:w="1807" w:type="dxa"/>
            <w:tcBorders>
              <w:top w:val="single" w:sz="4" w:space="0" w:color="000000"/>
              <w:left w:val="single" w:sz="4" w:space="0" w:color="000000"/>
              <w:bottom w:val="single" w:sz="4" w:space="0" w:color="000000"/>
              <w:right w:val="single" w:sz="4" w:space="0" w:color="000000"/>
            </w:tcBorders>
            <w:vAlign w:val="center"/>
          </w:tcPr>
          <w:p w14:paraId="4F44ABE3" w14:textId="77777777" w:rsidR="009C7506" w:rsidRDefault="008B3AB3">
            <w:pPr>
              <w:spacing w:after="0" w:line="259" w:lineRule="auto"/>
              <w:ind w:left="0" w:right="3" w:firstLine="0"/>
              <w:jc w:val="center"/>
            </w:pPr>
            <w:r>
              <w:t xml:space="preserve">(-0.24) </w:t>
            </w:r>
          </w:p>
        </w:tc>
      </w:tr>
      <w:tr w:rsidR="009C7506" w14:paraId="690043ED" w14:textId="77777777">
        <w:trPr>
          <w:trHeight w:val="2818"/>
        </w:trPr>
        <w:tc>
          <w:tcPr>
            <w:tcW w:w="1498" w:type="dxa"/>
            <w:tcBorders>
              <w:top w:val="single" w:sz="4" w:space="0" w:color="000000"/>
              <w:left w:val="single" w:sz="4" w:space="0" w:color="000000"/>
              <w:bottom w:val="single" w:sz="4" w:space="0" w:color="000000"/>
              <w:right w:val="single" w:sz="4" w:space="0" w:color="000000"/>
            </w:tcBorders>
            <w:vAlign w:val="center"/>
          </w:tcPr>
          <w:p w14:paraId="74284BE9" w14:textId="77777777" w:rsidR="009C7506" w:rsidRDefault="008B3AB3">
            <w:pPr>
              <w:spacing w:after="0" w:line="259" w:lineRule="auto"/>
              <w:ind w:left="14" w:right="0" w:firstLine="0"/>
              <w:jc w:val="center"/>
            </w:pPr>
            <w:r>
              <w:t xml:space="preserve">Fixed effect of </w:t>
            </w:r>
            <w:r>
              <w:t xml:space="preserve">Province - industry - rating agencies and year  </w:t>
            </w:r>
          </w:p>
        </w:tc>
        <w:tc>
          <w:tcPr>
            <w:tcW w:w="1587" w:type="dxa"/>
            <w:tcBorders>
              <w:top w:val="single" w:sz="4" w:space="0" w:color="000000"/>
              <w:left w:val="single" w:sz="4" w:space="0" w:color="000000"/>
              <w:bottom w:val="single" w:sz="4" w:space="0" w:color="000000"/>
              <w:right w:val="single" w:sz="4" w:space="0" w:color="000000"/>
            </w:tcBorders>
            <w:vAlign w:val="center"/>
          </w:tcPr>
          <w:p w14:paraId="48F51FE2" w14:textId="77777777" w:rsidR="009C7506" w:rsidRDefault="008B3AB3">
            <w:pPr>
              <w:spacing w:after="0" w:line="259" w:lineRule="auto"/>
              <w:ind w:left="0" w:right="0" w:firstLine="0"/>
              <w:jc w:val="center"/>
            </w:pPr>
            <w:r>
              <w:t xml:space="preserve">Controlled </w:t>
            </w:r>
          </w:p>
        </w:tc>
        <w:tc>
          <w:tcPr>
            <w:tcW w:w="1808" w:type="dxa"/>
            <w:tcBorders>
              <w:top w:val="single" w:sz="4" w:space="0" w:color="000000"/>
              <w:left w:val="single" w:sz="4" w:space="0" w:color="000000"/>
              <w:bottom w:val="single" w:sz="4" w:space="0" w:color="000000"/>
              <w:right w:val="single" w:sz="4" w:space="0" w:color="000000"/>
            </w:tcBorders>
            <w:vAlign w:val="center"/>
          </w:tcPr>
          <w:p w14:paraId="7ED4ECDA" w14:textId="77777777" w:rsidR="009C7506" w:rsidRDefault="008B3AB3">
            <w:pPr>
              <w:spacing w:after="0" w:line="259" w:lineRule="auto"/>
              <w:ind w:left="0" w:right="1" w:firstLine="0"/>
              <w:jc w:val="center"/>
            </w:pPr>
            <w:r>
              <w:t xml:space="preserve">Controlled </w:t>
            </w:r>
          </w:p>
        </w:tc>
        <w:tc>
          <w:tcPr>
            <w:tcW w:w="1825" w:type="dxa"/>
            <w:tcBorders>
              <w:top w:val="single" w:sz="4" w:space="0" w:color="000000"/>
              <w:left w:val="single" w:sz="4" w:space="0" w:color="000000"/>
              <w:bottom w:val="single" w:sz="4" w:space="0" w:color="000000"/>
              <w:right w:val="single" w:sz="4" w:space="0" w:color="000000"/>
            </w:tcBorders>
            <w:vAlign w:val="center"/>
          </w:tcPr>
          <w:p w14:paraId="498F5989" w14:textId="77777777" w:rsidR="009C7506" w:rsidRDefault="008B3AB3">
            <w:pPr>
              <w:spacing w:after="0" w:line="259" w:lineRule="auto"/>
              <w:ind w:left="1" w:right="0" w:firstLine="0"/>
              <w:jc w:val="center"/>
            </w:pPr>
            <w:r>
              <w:t xml:space="preserve">Controlled </w:t>
            </w:r>
          </w:p>
        </w:tc>
        <w:tc>
          <w:tcPr>
            <w:tcW w:w="1807" w:type="dxa"/>
            <w:tcBorders>
              <w:top w:val="single" w:sz="4" w:space="0" w:color="000000"/>
              <w:left w:val="single" w:sz="4" w:space="0" w:color="000000"/>
              <w:bottom w:val="single" w:sz="4" w:space="0" w:color="000000"/>
              <w:right w:val="single" w:sz="4" w:space="0" w:color="000000"/>
            </w:tcBorders>
            <w:vAlign w:val="center"/>
          </w:tcPr>
          <w:p w14:paraId="1B6ABDCE" w14:textId="77777777" w:rsidR="009C7506" w:rsidRDefault="008B3AB3">
            <w:pPr>
              <w:spacing w:after="0" w:line="259" w:lineRule="auto"/>
              <w:ind w:left="0" w:right="0" w:firstLine="0"/>
              <w:jc w:val="center"/>
            </w:pPr>
            <w:r>
              <w:t xml:space="preserve">Controlled </w:t>
            </w:r>
          </w:p>
        </w:tc>
      </w:tr>
      <w:tr w:rsidR="009C7506" w14:paraId="77EC24E4" w14:textId="77777777">
        <w:trPr>
          <w:trHeight w:val="480"/>
        </w:trPr>
        <w:tc>
          <w:tcPr>
            <w:tcW w:w="1498" w:type="dxa"/>
            <w:vMerge w:val="restart"/>
            <w:tcBorders>
              <w:top w:val="single" w:sz="4" w:space="0" w:color="000000"/>
              <w:left w:val="single" w:sz="4" w:space="0" w:color="000000"/>
              <w:bottom w:val="single" w:sz="4" w:space="0" w:color="000000"/>
              <w:right w:val="single" w:sz="4" w:space="0" w:color="000000"/>
            </w:tcBorders>
            <w:vAlign w:val="center"/>
          </w:tcPr>
          <w:p w14:paraId="4A3ACEDD" w14:textId="77777777" w:rsidR="009C7506" w:rsidRDefault="008B3AB3">
            <w:pPr>
              <w:spacing w:after="0" w:line="259" w:lineRule="auto"/>
              <w:ind w:left="1" w:right="0" w:firstLine="0"/>
              <w:jc w:val="center"/>
            </w:pPr>
            <w:r>
              <w:t xml:space="preserve">Constant </w:t>
            </w:r>
          </w:p>
        </w:tc>
        <w:tc>
          <w:tcPr>
            <w:tcW w:w="1587" w:type="dxa"/>
            <w:tcBorders>
              <w:top w:val="single" w:sz="4" w:space="0" w:color="000000"/>
              <w:left w:val="single" w:sz="4" w:space="0" w:color="000000"/>
              <w:bottom w:val="single" w:sz="4" w:space="0" w:color="000000"/>
              <w:right w:val="single" w:sz="4" w:space="0" w:color="000000"/>
            </w:tcBorders>
            <w:vAlign w:val="center"/>
          </w:tcPr>
          <w:p w14:paraId="4D1EC01D" w14:textId="77777777" w:rsidR="009C7506" w:rsidRDefault="008B3AB3">
            <w:pPr>
              <w:spacing w:after="0" w:line="259" w:lineRule="auto"/>
              <w:ind w:left="0" w:right="2" w:firstLine="0"/>
              <w:jc w:val="center"/>
            </w:pPr>
            <w:r>
              <w:t>6.567</w:t>
            </w:r>
            <w:r>
              <w:rPr>
                <w:vertAlign w:val="superscript"/>
              </w:rPr>
              <w:t>***</w:t>
            </w:r>
            <w:r>
              <w:t xml:space="preserve"> </w:t>
            </w:r>
          </w:p>
        </w:tc>
        <w:tc>
          <w:tcPr>
            <w:tcW w:w="1808" w:type="dxa"/>
            <w:tcBorders>
              <w:top w:val="single" w:sz="4" w:space="0" w:color="000000"/>
              <w:left w:val="single" w:sz="4" w:space="0" w:color="000000"/>
              <w:bottom w:val="single" w:sz="4" w:space="0" w:color="000000"/>
              <w:right w:val="single" w:sz="4" w:space="0" w:color="000000"/>
            </w:tcBorders>
            <w:vAlign w:val="center"/>
          </w:tcPr>
          <w:p w14:paraId="2FBCEB7B" w14:textId="77777777" w:rsidR="009C7506" w:rsidRDefault="008B3AB3">
            <w:pPr>
              <w:spacing w:after="0" w:line="259" w:lineRule="auto"/>
              <w:ind w:left="0" w:right="3" w:firstLine="0"/>
              <w:jc w:val="center"/>
            </w:pPr>
            <w:r>
              <w:t>3.166</w:t>
            </w:r>
            <w:r>
              <w:rPr>
                <w:vertAlign w:val="superscript"/>
              </w:rPr>
              <w:t>***</w:t>
            </w:r>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7DA2AA71" w14:textId="77777777" w:rsidR="009C7506" w:rsidRDefault="008B3AB3">
            <w:pPr>
              <w:spacing w:after="0" w:line="259" w:lineRule="auto"/>
              <w:ind w:left="0" w:right="1" w:firstLine="0"/>
              <w:jc w:val="center"/>
            </w:pPr>
            <w:r>
              <w:t>6.464</w:t>
            </w:r>
            <w:r>
              <w:rPr>
                <w:vertAlign w:val="superscript"/>
              </w:rPr>
              <w:t>***</w:t>
            </w:r>
            <w:r>
              <w:t xml:space="preserve"> </w:t>
            </w:r>
          </w:p>
        </w:tc>
        <w:tc>
          <w:tcPr>
            <w:tcW w:w="1807" w:type="dxa"/>
            <w:tcBorders>
              <w:top w:val="single" w:sz="4" w:space="0" w:color="000000"/>
              <w:left w:val="single" w:sz="4" w:space="0" w:color="000000"/>
              <w:bottom w:val="single" w:sz="4" w:space="0" w:color="000000"/>
              <w:right w:val="single" w:sz="4" w:space="0" w:color="000000"/>
            </w:tcBorders>
            <w:vAlign w:val="center"/>
          </w:tcPr>
          <w:p w14:paraId="6471AC4E" w14:textId="77777777" w:rsidR="009C7506" w:rsidRDefault="008B3AB3">
            <w:pPr>
              <w:spacing w:after="0" w:line="259" w:lineRule="auto"/>
              <w:ind w:left="0" w:right="2" w:firstLine="0"/>
              <w:jc w:val="center"/>
            </w:pPr>
            <w:r>
              <w:t>3.114</w:t>
            </w:r>
            <w:r>
              <w:rPr>
                <w:vertAlign w:val="superscript"/>
              </w:rPr>
              <w:t>***</w:t>
            </w:r>
            <w:r>
              <w:t xml:space="preserve"> </w:t>
            </w:r>
          </w:p>
        </w:tc>
      </w:tr>
      <w:tr w:rsidR="009C7506" w14:paraId="5780F1F7" w14:textId="77777777">
        <w:trPr>
          <w:trHeight w:val="478"/>
        </w:trPr>
        <w:tc>
          <w:tcPr>
            <w:tcW w:w="0" w:type="auto"/>
            <w:vMerge/>
            <w:tcBorders>
              <w:top w:val="nil"/>
              <w:left w:val="single" w:sz="4" w:space="0" w:color="000000"/>
              <w:bottom w:val="single" w:sz="4" w:space="0" w:color="000000"/>
              <w:right w:val="single" w:sz="4" w:space="0" w:color="000000"/>
            </w:tcBorders>
          </w:tcPr>
          <w:p w14:paraId="395048FF" w14:textId="77777777" w:rsidR="009C7506" w:rsidRDefault="009C7506">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vAlign w:val="center"/>
          </w:tcPr>
          <w:p w14:paraId="580D3660" w14:textId="77777777" w:rsidR="009C7506" w:rsidRDefault="008B3AB3">
            <w:pPr>
              <w:spacing w:after="0" w:line="259" w:lineRule="auto"/>
              <w:ind w:left="0" w:right="3" w:firstLine="0"/>
              <w:jc w:val="center"/>
            </w:pPr>
            <w:r>
              <w:t xml:space="preserve">(7.01) </w:t>
            </w:r>
          </w:p>
        </w:tc>
        <w:tc>
          <w:tcPr>
            <w:tcW w:w="1808" w:type="dxa"/>
            <w:tcBorders>
              <w:top w:val="single" w:sz="4" w:space="0" w:color="000000"/>
              <w:left w:val="single" w:sz="4" w:space="0" w:color="000000"/>
              <w:bottom w:val="single" w:sz="4" w:space="0" w:color="000000"/>
              <w:right w:val="single" w:sz="4" w:space="0" w:color="000000"/>
            </w:tcBorders>
            <w:vAlign w:val="center"/>
          </w:tcPr>
          <w:p w14:paraId="0DEBF59E" w14:textId="77777777" w:rsidR="009C7506" w:rsidRDefault="008B3AB3">
            <w:pPr>
              <w:spacing w:after="0" w:line="259" w:lineRule="auto"/>
              <w:ind w:left="1" w:right="0" w:firstLine="0"/>
              <w:jc w:val="center"/>
            </w:pPr>
            <w:r>
              <w:t xml:space="preserve">(6.28) </w:t>
            </w:r>
          </w:p>
        </w:tc>
        <w:tc>
          <w:tcPr>
            <w:tcW w:w="1825" w:type="dxa"/>
            <w:tcBorders>
              <w:top w:val="single" w:sz="4" w:space="0" w:color="000000"/>
              <w:left w:val="single" w:sz="4" w:space="0" w:color="000000"/>
              <w:bottom w:val="single" w:sz="4" w:space="0" w:color="000000"/>
              <w:right w:val="single" w:sz="4" w:space="0" w:color="000000"/>
            </w:tcBorders>
            <w:vAlign w:val="center"/>
          </w:tcPr>
          <w:p w14:paraId="303A61BA" w14:textId="77777777" w:rsidR="009C7506" w:rsidRDefault="008B3AB3">
            <w:pPr>
              <w:spacing w:after="0" w:line="259" w:lineRule="auto"/>
              <w:ind w:left="0" w:right="2" w:firstLine="0"/>
              <w:jc w:val="center"/>
            </w:pPr>
            <w:r>
              <w:t xml:space="preserve">(6.77) </w:t>
            </w:r>
          </w:p>
        </w:tc>
        <w:tc>
          <w:tcPr>
            <w:tcW w:w="1807" w:type="dxa"/>
            <w:tcBorders>
              <w:top w:val="single" w:sz="4" w:space="0" w:color="000000"/>
              <w:left w:val="single" w:sz="4" w:space="0" w:color="000000"/>
              <w:bottom w:val="single" w:sz="4" w:space="0" w:color="000000"/>
              <w:right w:val="single" w:sz="4" w:space="0" w:color="000000"/>
            </w:tcBorders>
            <w:vAlign w:val="center"/>
          </w:tcPr>
          <w:p w14:paraId="4AC3E04E" w14:textId="77777777" w:rsidR="009C7506" w:rsidRDefault="008B3AB3">
            <w:pPr>
              <w:spacing w:after="0" w:line="259" w:lineRule="auto"/>
              <w:ind w:left="1" w:right="0" w:firstLine="0"/>
              <w:jc w:val="center"/>
            </w:pPr>
            <w:r>
              <w:t xml:space="preserve">(6.06) </w:t>
            </w:r>
          </w:p>
        </w:tc>
      </w:tr>
      <w:tr w:rsidR="009C7506" w14:paraId="7B7D86B3" w14:textId="77777777">
        <w:trPr>
          <w:trHeight w:val="946"/>
        </w:trPr>
        <w:tc>
          <w:tcPr>
            <w:tcW w:w="1498" w:type="dxa"/>
            <w:tcBorders>
              <w:top w:val="single" w:sz="4" w:space="0" w:color="000000"/>
              <w:left w:val="single" w:sz="4" w:space="0" w:color="000000"/>
              <w:bottom w:val="single" w:sz="4" w:space="0" w:color="000000"/>
              <w:right w:val="single" w:sz="4" w:space="0" w:color="000000"/>
            </w:tcBorders>
            <w:vAlign w:val="center"/>
          </w:tcPr>
          <w:p w14:paraId="08CF8493" w14:textId="77777777" w:rsidR="009C7506" w:rsidRDefault="008B3AB3">
            <w:pPr>
              <w:spacing w:after="0" w:line="259" w:lineRule="auto"/>
              <w:ind w:left="0" w:right="0" w:firstLine="0"/>
              <w:jc w:val="center"/>
            </w:pPr>
            <w:r>
              <w:t xml:space="preserve">Sample volume </w:t>
            </w:r>
          </w:p>
        </w:tc>
        <w:tc>
          <w:tcPr>
            <w:tcW w:w="1587" w:type="dxa"/>
            <w:tcBorders>
              <w:top w:val="single" w:sz="4" w:space="0" w:color="000000"/>
              <w:left w:val="single" w:sz="4" w:space="0" w:color="000000"/>
              <w:bottom w:val="single" w:sz="4" w:space="0" w:color="000000"/>
              <w:right w:val="single" w:sz="4" w:space="0" w:color="000000"/>
            </w:tcBorders>
            <w:vAlign w:val="center"/>
          </w:tcPr>
          <w:p w14:paraId="1C1DA7D6" w14:textId="77777777" w:rsidR="009C7506" w:rsidRDefault="008B3AB3">
            <w:pPr>
              <w:spacing w:after="0" w:line="259" w:lineRule="auto"/>
              <w:ind w:left="0" w:right="2" w:firstLine="0"/>
              <w:jc w:val="center"/>
            </w:pPr>
            <w:r>
              <w:t xml:space="preserve">260 </w:t>
            </w:r>
          </w:p>
        </w:tc>
        <w:tc>
          <w:tcPr>
            <w:tcW w:w="1808" w:type="dxa"/>
            <w:tcBorders>
              <w:top w:val="single" w:sz="4" w:space="0" w:color="000000"/>
              <w:left w:val="single" w:sz="4" w:space="0" w:color="000000"/>
              <w:bottom w:val="single" w:sz="4" w:space="0" w:color="000000"/>
              <w:right w:val="single" w:sz="4" w:space="0" w:color="000000"/>
            </w:tcBorders>
            <w:vAlign w:val="center"/>
          </w:tcPr>
          <w:p w14:paraId="38BC8B91" w14:textId="77777777" w:rsidR="009C7506" w:rsidRDefault="008B3AB3">
            <w:pPr>
              <w:spacing w:after="0" w:line="259" w:lineRule="auto"/>
              <w:ind w:left="0" w:right="3" w:firstLine="0"/>
              <w:jc w:val="center"/>
            </w:pPr>
            <w:r>
              <w:t xml:space="preserve">261 </w:t>
            </w:r>
          </w:p>
        </w:tc>
        <w:tc>
          <w:tcPr>
            <w:tcW w:w="1825" w:type="dxa"/>
            <w:tcBorders>
              <w:top w:val="single" w:sz="4" w:space="0" w:color="000000"/>
              <w:left w:val="single" w:sz="4" w:space="0" w:color="000000"/>
              <w:bottom w:val="single" w:sz="4" w:space="0" w:color="000000"/>
              <w:right w:val="single" w:sz="4" w:space="0" w:color="000000"/>
            </w:tcBorders>
            <w:vAlign w:val="center"/>
          </w:tcPr>
          <w:p w14:paraId="344316D0" w14:textId="77777777" w:rsidR="009C7506" w:rsidRDefault="008B3AB3">
            <w:pPr>
              <w:spacing w:after="0" w:line="259" w:lineRule="auto"/>
              <w:ind w:left="0" w:right="1" w:firstLine="0"/>
              <w:jc w:val="center"/>
            </w:pPr>
            <w:r>
              <w:t xml:space="preserve">249 </w:t>
            </w:r>
          </w:p>
        </w:tc>
        <w:tc>
          <w:tcPr>
            <w:tcW w:w="1807" w:type="dxa"/>
            <w:tcBorders>
              <w:top w:val="single" w:sz="4" w:space="0" w:color="000000"/>
              <w:left w:val="single" w:sz="4" w:space="0" w:color="000000"/>
              <w:bottom w:val="single" w:sz="4" w:space="0" w:color="000000"/>
              <w:right w:val="single" w:sz="4" w:space="0" w:color="000000"/>
            </w:tcBorders>
            <w:vAlign w:val="center"/>
          </w:tcPr>
          <w:p w14:paraId="0CCEFAF0" w14:textId="77777777" w:rsidR="009C7506" w:rsidRDefault="008B3AB3">
            <w:pPr>
              <w:spacing w:after="0" w:line="259" w:lineRule="auto"/>
              <w:ind w:left="0" w:right="2" w:firstLine="0"/>
              <w:jc w:val="center"/>
            </w:pPr>
            <w:r>
              <w:t xml:space="preserve">250 </w:t>
            </w:r>
          </w:p>
        </w:tc>
      </w:tr>
      <w:tr w:rsidR="009C7506" w14:paraId="3619BD54" w14:textId="77777777">
        <w:trPr>
          <w:trHeight w:val="643"/>
        </w:trPr>
        <w:tc>
          <w:tcPr>
            <w:tcW w:w="1498" w:type="dxa"/>
            <w:tcBorders>
              <w:top w:val="single" w:sz="4" w:space="0" w:color="000000"/>
              <w:left w:val="single" w:sz="4" w:space="0" w:color="000000"/>
              <w:bottom w:val="single" w:sz="4" w:space="0" w:color="000000"/>
              <w:right w:val="single" w:sz="4" w:space="0" w:color="000000"/>
            </w:tcBorders>
            <w:vAlign w:val="center"/>
          </w:tcPr>
          <w:p w14:paraId="19A5861A" w14:textId="77777777" w:rsidR="009C7506" w:rsidRDefault="008B3AB3">
            <w:pPr>
              <w:spacing w:after="0" w:line="259" w:lineRule="auto"/>
              <w:ind w:left="0" w:right="1" w:firstLine="0"/>
              <w:jc w:val="center"/>
            </w:pPr>
            <w:r>
              <w:t xml:space="preserve">R-squared </w:t>
            </w:r>
          </w:p>
        </w:tc>
        <w:tc>
          <w:tcPr>
            <w:tcW w:w="1587" w:type="dxa"/>
            <w:tcBorders>
              <w:top w:val="single" w:sz="4" w:space="0" w:color="000000"/>
              <w:left w:val="single" w:sz="4" w:space="0" w:color="000000"/>
              <w:bottom w:val="single" w:sz="4" w:space="0" w:color="000000"/>
              <w:right w:val="single" w:sz="4" w:space="0" w:color="000000"/>
            </w:tcBorders>
            <w:vAlign w:val="center"/>
          </w:tcPr>
          <w:p w14:paraId="7E165DB2" w14:textId="77777777" w:rsidR="009C7506" w:rsidRDefault="008B3AB3">
            <w:pPr>
              <w:spacing w:after="0" w:line="259" w:lineRule="auto"/>
              <w:ind w:left="1" w:right="0" w:firstLine="0"/>
              <w:jc w:val="center"/>
            </w:pPr>
            <w:r>
              <w:t xml:space="preserve">0.5632 </w:t>
            </w:r>
          </w:p>
        </w:tc>
        <w:tc>
          <w:tcPr>
            <w:tcW w:w="1808" w:type="dxa"/>
            <w:tcBorders>
              <w:top w:val="single" w:sz="4" w:space="0" w:color="000000"/>
              <w:left w:val="single" w:sz="4" w:space="0" w:color="000000"/>
              <w:bottom w:val="single" w:sz="4" w:space="0" w:color="000000"/>
              <w:right w:val="single" w:sz="4" w:space="0" w:color="000000"/>
            </w:tcBorders>
            <w:vAlign w:val="center"/>
          </w:tcPr>
          <w:p w14:paraId="3B157617" w14:textId="77777777" w:rsidR="009C7506" w:rsidRDefault="008B3AB3">
            <w:pPr>
              <w:spacing w:after="0" w:line="259" w:lineRule="auto"/>
              <w:ind w:left="0" w:right="0" w:firstLine="0"/>
              <w:jc w:val="center"/>
            </w:pPr>
            <w:r>
              <w:t xml:space="preserve">0.5339 </w:t>
            </w:r>
          </w:p>
        </w:tc>
        <w:tc>
          <w:tcPr>
            <w:tcW w:w="1825" w:type="dxa"/>
            <w:tcBorders>
              <w:top w:val="single" w:sz="4" w:space="0" w:color="000000"/>
              <w:left w:val="single" w:sz="4" w:space="0" w:color="000000"/>
              <w:bottom w:val="single" w:sz="4" w:space="0" w:color="000000"/>
              <w:right w:val="single" w:sz="4" w:space="0" w:color="000000"/>
            </w:tcBorders>
            <w:vAlign w:val="center"/>
          </w:tcPr>
          <w:p w14:paraId="41603715" w14:textId="77777777" w:rsidR="009C7506" w:rsidRDefault="008B3AB3">
            <w:pPr>
              <w:spacing w:after="0" w:line="259" w:lineRule="auto"/>
              <w:ind w:left="2" w:right="0" w:firstLine="0"/>
              <w:jc w:val="center"/>
            </w:pPr>
            <w:r>
              <w:t xml:space="preserve">0.5700 </w:t>
            </w:r>
          </w:p>
        </w:tc>
        <w:tc>
          <w:tcPr>
            <w:tcW w:w="1807" w:type="dxa"/>
            <w:tcBorders>
              <w:top w:val="single" w:sz="4" w:space="0" w:color="000000"/>
              <w:left w:val="single" w:sz="4" w:space="0" w:color="000000"/>
              <w:bottom w:val="single" w:sz="4" w:space="0" w:color="000000"/>
              <w:right w:val="single" w:sz="4" w:space="0" w:color="000000"/>
            </w:tcBorders>
            <w:vAlign w:val="center"/>
          </w:tcPr>
          <w:p w14:paraId="232DFB98" w14:textId="77777777" w:rsidR="009C7506" w:rsidRDefault="008B3AB3">
            <w:pPr>
              <w:spacing w:after="0" w:line="259" w:lineRule="auto"/>
              <w:ind w:left="0" w:right="0" w:firstLine="0"/>
              <w:jc w:val="center"/>
            </w:pPr>
            <w:r>
              <w:t xml:space="preserve">0.5430 </w:t>
            </w:r>
          </w:p>
        </w:tc>
      </w:tr>
    </w:tbl>
    <w:p w14:paraId="14810175" w14:textId="77777777" w:rsidR="009C7506" w:rsidRDefault="008B3AB3">
      <w:pPr>
        <w:ind w:left="21" w:right="45"/>
      </w:pPr>
      <w:r>
        <w:t xml:space="preserve">Note: using OLS regression; The value in the brackets is t value; * p &lt; 0.05, * * p &lt; 0.01, * * * p &lt; 0.001, represent significance at the 1% level, 5% level and 10% level respectively. </w:t>
      </w:r>
    </w:p>
    <w:p w14:paraId="342192FD" w14:textId="77777777" w:rsidR="009C7506" w:rsidRDefault="008B3AB3">
      <w:pPr>
        <w:spacing w:after="41" w:line="259" w:lineRule="auto"/>
        <w:ind w:left="0" w:right="0" w:firstLine="0"/>
        <w:jc w:val="left"/>
      </w:pPr>
      <w:r>
        <w:t xml:space="preserve"> </w:t>
      </w:r>
    </w:p>
    <w:p w14:paraId="0710B135" w14:textId="77777777" w:rsidR="009C7506" w:rsidRDefault="008B3AB3">
      <w:pPr>
        <w:pStyle w:val="Heading2"/>
        <w:ind w:left="-5" w:right="41"/>
      </w:pPr>
      <w:r>
        <w:t xml:space="preserve">5.2 Empirical results from 2014 to 2015 </w:t>
      </w:r>
    </w:p>
    <w:p w14:paraId="266AE1B2" w14:textId="77777777" w:rsidR="009C7506" w:rsidRDefault="008B3AB3">
      <w:pPr>
        <w:spacing w:after="36" w:line="259" w:lineRule="auto"/>
        <w:ind w:left="0" w:right="0" w:firstLine="0"/>
        <w:jc w:val="left"/>
      </w:pPr>
      <w:r>
        <w:t xml:space="preserve"> </w:t>
      </w:r>
    </w:p>
    <w:p w14:paraId="6D614047" w14:textId="77777777" w:rsidR="009C7506" w:rsidRDefault="008B3AB3">
      <w:pPr>
        <w:ind w:left="21" w:right="45"/>
      </w:pPr>
      <w:r>
        <w:t xml:space="preserve">The default event in 2014 was a landmark in China's bond market. Since then, the bond default events have been frequently come up so that we use these events as the signal of the weakening of the government intervention. In order to study the reactions of </w:t>
      </w:r>
      <w:r>
        <w:t xml:space="preserve">the bond investors and the rating agencies before and after the changing of government intervention, we use samples from 2014 to 2015 as the second phase regression. </w:t>
      </w:r>
    </w:p>
    <w:p w14:paraId="46EBE319" w14:textId="77777777" w:rsidR="009C7506" w:rsidRDefault="008B3AB3">
      <w:pPr>
        <w:spacing w:after="36" w:line="259" w:lineRule="auto"/>
        <w:ind w:left="0" w:right="0" w:firstLine="0"/>
        <w:jc w:val="left"/>
      </w:pPr>
      <w:r>
        <w:t xml:space="preserve"> </w:t>
      </w:r>
    </w:p>
    <w:p w14:paraId="627400EF" w14:textId="77777777" w:rsidR="009C7506" w:rsidRDefault="008B3AB3">
      <w:pPr>
        <w:ind w:left="21" w:right="45"/>
      </w:pPr>
      <w:r>
        <w:t>Firstly, the effect of "implicit guarantee" factors on the credit spreads is studied. T</w:t>
      </w:r>
      <w:r>
        <w:t xml:space="preserve">he result of regression 5 shows that, compared with the sample before 2014, the property of the issuers and </w:t>
      </w:r>
      <w:r>
        <w:lastRenderedPageBreak/>
        <w:t>the reputation and strength of the leading underwriters have more significant influence on the decline of the spreads. The t-value of the leading un</w:t>
      </w:r>
      <w:r>
        <w:t>derwriters increases from 0.94 to 1.75, and the significance was statistically higher. If all year samples are tested (which we do not report here), the t-value increases to 2.33, which is significant at 5% significance level. We can say that the significa</w:t>
      </w:r>
      <w:r>
        <w:t>nt effect of the leading underwriters in all year samples was contributed by the samples from 2014 and 2015. This shows that under the frequent default events, the investors shift their expectation from only considering the state-owned property to consider</w:t>
      </w:r>
      <w:r>
        <w:t>ing both the state-owned property and the leading underwriters' reputation and strength. We predict that it is the result of the weakening of the government intervention. The default event breaks the "implicit guarantee" expectation, and arises the new "ri</w:t>
      </w:r>
      <w:r>
        <w:t xml:space="preserve">gid payment" expectation which sets the spreads stable in low level. Through deep investigation of China's corporate bond market, we find that although there have been a large number of default events, these defaulted bonds are still redeemed by the local </w:t>
      </w:r>
      <w:r>
        <w:t>governments, the leading underwriters and the associated companies. It is clear that bond defaults only enhance the investors' risk awareness to some extent. Although they realize the weakening of government intervention and the broken of "implicit guarant</w:t>
      </w:r>
      <w:r>
        <w:t xml:space="preserve">ee", they feel confident on the potential powers as the bonds payer and hold strong "rigid payment" expectation. </w:t>
      </w:r>
    </w:p>
    <w:p w14:paraId="1754BC46" w14:textId="77777777" w:rsidR="009C7506" w:rsidRDefault="008B3AB3">
      <w:pPr>
        <w:spacing w:after="36" w:line="259" w:lineRule="auto"/>
        <w:ind w:left="0" w:right="0" w:firstLine="0"/>
        <w:jc w:val="left"/>
      </w:pPr>
      <w:r>
        <w:t xml:space="preserve"> </w:t>
      </w:r>
    </w:p>
    <w:p w14:paraId="28C78F0A" w14:textId="77777777" w:rsidR="009C7506" w:rsidRDefault="008B3AB3">
      <w:pPr>
        <w:ind w:left="21" w:right="45"/>
      </w:pPr>
      <w:r>
        <w:t>In regression 7, we add the local loan-to-deposit ratio and the local GDP in to model. The results show that the leading underwriter's reput</w:t>
      </w:r>
      <w:r>
        <w:t>ation and strength, the loan-to-deposit ratio and the GDP are all consistent with our predicts in direction which means our results are robust. Besides, these results again verify the  hypothesis that under strong "rigid payment" expectation, the investors</w:t>
      </w:r>
      <w:r>
        <w:t xml:space="preserve">' pricing is significantly affected by more factors reflecting the potential repayment powers.  </w:t>
      </w:r>
    </w:p>
    <w:p w14:paraId="0AC742A9" w14:textId="77777777" w:rsidR="009C7506" w:rsidRDefault="008B3AB3">
      <w:pPr>
        <w:spacing w:after="36" w:line="259" w:lineRule="auto"/>
        <w:ind w:left="0" w:right="0" w:firstLine="0"/>
        <w:jc w:val="left"/>
      </w:pPr>
      <w:r>
        <w:t xml:space="preserve"> </w:t>
      </w:r>
    </w:p>
    <w:p w14:paraId="19550093" w14:textId="77777777" w:rsidR="009C7506" w:rsidRDefault="008B3AB3">
      <w:pPr>
        <w:ind w:left="21" w:right="45"/>
      </w:pPr>
      <w:r>
        <w:t>Furthermore, the impacts of the "implicit guarantee" on credit rating is studied. The results of regression 6 and 8 show that the state-owned property of the</w:t>
      </w:r>
      <w:r>
        <w:t xml:space="preserve"> issuers has a significant positive impacts on the credit rating. However, the reputation and strength of the leading underwriters do not have the significant impacts on the ratings, and even the direction were inconsistent with the former period. These re</w:t>
      </w:r>
      <w:r>
        <w:t xml:space="preserve">sults verify our predicts that since the cost of the agencies' rating failure has risen significantly since the default, the ratings agencies are more cautious and fair in the rating process. Though rejecting the persuasion of the issuers and underwriters </w:t>
      </w:r>
      <w:r>
        <w:t xml:space="preserve">may lose some business, the punishment of inflated and wrong ratings is so high that they no longer wish to take the risk and scarify the reputation. </w:t>
      </w:r>
    </w:p>
    <w:p w14:paraId="6D03BD33" w14:textId="77777777" w:rsidR="009C7506" w:rsidRDefault="008B3AB3">
      <w:pPr>
        <w:spacing w:after="36" w:line="259" w:lineRule="auto"/>
        <w:ind w:left="0" w:right="0" w:firstLine="0"/>
        <w:jc w:val="left"/>
      </w:pPr>
      <w:r>
        <w:t xml:space="preserve"> </w:t>
      </w:r>
    </w:p>
    <w:p w14:paraId="437E3767" w14:textId="77777777" w:rsidR="009C7506" w:rsidRDefault="008B3AB3">
      <w:pPr>
        <w:ind w:left="21" w:right="45"/>
      </w:pPr>
      <w:r>
        <w:t xml:space="preserve">Similarly, after adding the local loan-to-deposit ratio and GDP indicators, the results show that none </w:t>
      </w:r>
      <w:r>
        <w:t xml:space="preserve">of these indicators have the significant impacts on the credit ratings. It is worth noting that even a corporate bond has been completed the payment after the defaults. The rating failure also happened and the rating error cost already existed.  From this </w:t>
      </w:r>
      <w:r>
        <w:t xml:space="preserve">perspective, it is reasonable that the underwriters’ background, the loan-to-deposit ratio and GDP factors are not significant. </w:t>
      </w:r>
    </w:p>
    <w:p w14:paraId="5C203738" w14:textId="77777777" w:rsidR="009C7506" w:rsidRDefault="008B3AB3">
      <w:pPr>
        <w:spacing w:after="36" w:line="259" w:lineRule="auto"/>
        <w:ind w:left="0" w:right="0" w:firstLine="0"/>
        <w:jc w:val="left"/>
      </w:pPr>
      <w:r>
        <w:t xml:space="preserve"> </w:t>
      </w:r>
    </w:p>
    <w:p w14:paraId="5AF34026" w14:textId="77777777" w:rsidR="009C7506" w:rsidRDefault="008B3AB3">
      <w:pPr>
        <w:ind w:left="21" w:right="45"/>
      </w:pPr>
      <w:r>
        <w:t>To sum up the empirical results of this phase, we verify the hypothesis of the phase of 2014-2015 in hypotheses 1-4. After th</w:t>
      </w:r>
      <w:r>
        <w:t xml:space="preserve">e default event of 2014, the bond investors and the rating agencies have heterogeneous reactions. Investors focus on whether the bonds can finally </w:t>
      </w:r>
      <w:r>
        <w:lastRenderedPageBreak/>
        <w:t>complete the payment. The default is just a signal of the weakening of the government intervention, which imp</w:t>
      </w:r>
      <w:r>
        <w:t>roves their risk awareness. By finding direct and indirect political association and potential payment powers of the bonds, they form the new expectation of "rigid payment". So that in this phase, the leading underwriters’ impact on the investors is greatl</w:t>
      </w:r>
      <w:r>
        <w:t>y improved but it is still dominated by the property of issuers for the latter is the direct political association. On the contrary, the rating agencies still care about the bond default rate. Considering the great cost of rating failure, the rating agenci</w:t>
      </w:r>
      <w:r>
        <w:t>es are more cautious and fair in rating activity. Furthermore, the rating agencies are no longer so sensitive to the persuasion of the leading underwriters and the issuers. Therefore, it is reasonable that the leading underwriters’ impact on rating improve</w:t>
      </w:r>
      <w:r>
        <w:t xml:space="preserve">ment is greatly decreased, and displays as not significant. </w:t>
      </w:r>
    </w:p>
    <w:p w14:paraId="40F0E5B8" w14:textId="77777777" w:rsidR="009C7506" w:rsidRDefault="008B3AB3">
      <w:pPr>
        <w:spacing w:after="41" w:line="259" w:lineRule="auto"/>
        <w:ind w:left="0" w:right="0" w:firstLine="0"/>
        <w:jc w:val="left"/>
      </w:pPr>
      <w:r>
        <w:t xml:space="preserve"> </w:t>
      </w:r>
    </w:p>
    <w:p w14:paraId="74A99D9B" w14:textId="77777777" w:rsidR="009C7506" w:rsidRDefault="008B3AB3">
      <w:pPr>
        <w:pStyle w:val="Heading2"/>
        <w:spacing w:after="3"/>
        <w:ind w:right="58"/>
        <w:jc w:val="center"/>
      </w:pPr>
      <w:r>
        <w:t xml:space="preserve">Table 8 Empirical results from 2014 to 2015 </w:t>
      </w:r>
    </w:p>
    <w:tbl>
      <w:tblPr>
        <w:tblStyle w:val="TableGrid"/>
        <w:tblW w:w="8524" w:type="dxa"/>
        <w:tblInd w:w="-108" w:type="dxa"/>
        <w:tblCellMar>
          <w:top w:w="0" w:type="dxa"/>
          <w:left w:w="115" w:type="dxa"/>
          <w:bottom w:w="0" w:type="dxa"/>
          <w:right w:w="64" w:type="dxa"/>
        </w:tblCellMar>
        <w:tblLook w:val="04A0" w:firstRow="1" w:lastRow="0" w:firstColumn="1" w:lastColumn="0" w:noHBand="0" w:noVBand="1"/>
      </w:tblPr>
      <w:tblGrid>
        <w:gridCol w:w="1563"/>
        <w:gridCol w:w="1769"/>
        <w:gridCol w:w="1884"/>
        <w:gridCol w:w="1654"/>
        <w:gridCol w:w="1654"/>
      </w:tblGrid>
      <w:tr w:rsidR="009C7506" w14:paraId="4BF8B5B3" w14:textId="77777777">
        <w:trPr>
          <w:trHeight w:val="478"/>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2A103461" w14:textId="77777777" w:rsidR="009C7506" w:rsidRDefault="008B3AB3">
            <w:pPr>
              <w:spacing w:after="0" w:line="259" w:lineRule="auto"/>
              <w:ind w:left="53" w:right="0" w:firstLine="0"/>
              <w:jc w:val="center"/>
            </w:pPr>
            <w: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4AB62476" w14:textId="77777777" w:rsidR="009C7506" w:rsidRDefault="008B3AB3">
            <w:pPr>
              <w:spacing w:after="0" w:line="259" w:lineRule="auto"/>
              <w:ind w:left="2" w:right="0" w:firstLine="0"/>
              <w:jc w:val="center"/>
            </w:pPr>
            <w:r>
              <w:t xml:space="preserve">(5) </w:t>
            </w:r>
          </w:p>
        </w:tc>
        <w:tc>
          <w:tcPr>
            <w:tcW w:w="1884" w:type="dxa"/>
            <w:tcBorders>
              <w:top w:val="single" w:sz="4" w:space="0" w:color="000000"/>
              <w:left w:val="single" w:sz="4" w:space="0" w:color="000000"/>
              <w:bottom w:val="single" w:sz="4" w:space="0" w:color="000000"/>
              <w:right w:val="single" w:sz="4" w:space="0" w:color="000000"/>
            </w:tcBorders>
            <w:vAlign w:val="center"/>
          </w:tcPr>
          <w:p w14:paraId="48A197B0" w14:textId="77777777" w:rsidR="009C7506" w:rsidRDefault="008B3AB3">
            <w:pPr>
              <w:spacing w:after="0" w:line="259" w:lineRule="auto"/>
              <w:ind w:left="1" w:right="0" w:firstLine="0"/>
              <w:jc w:val="center"/>
            </w:pPr>
            <w:r>
              <w:t xml:space="preserve">(6) </w:t>
            </w:r>
          </w:p>
        </w:tc>
        <w:tc>
          <w:tcPr>
            <w:tcW w:w="1654" w:type="dxa"/>
            <w:tcBorders>
              <w:top w:val="single" w:sz="4" w:space="0" w:color="000000"/>
              <w:left w:val="single" w:sz="4" w:space="0" w:color="000000"/>
              <w:bottom w:val="single" w:sz="4" w:space="0" w:color="000000"/>
              <w:right w:val="single" w:sz="4" w:space="0" w:color="000000"/>
            </w:tcBorders>
            <w:vAlign w:val="center"/>
          </w:tcPr>
          <w:p w14:paraId="7A450616" w14:textId="77777777" w:rsidR="009C7506" w:rsidRDefault="008B3AB3">
            <w:pPr>
              <w:spacing w:after="0" w:line="259" w:lineRule="auto"/>
              <w:ind w:left="1" w:right="0" w:firstLine="0"/>
              <w:jc w:val="center"/>
            </w:pPr>
            <w:r>
              <w:t xml:space="preserve">(7) </w:t>
            </w:r>
          </w:p>
        </w:tc>
        <w:tc>
          <w:tcPr>
            <w:tcW w:w="1654" w:type="dxa"/>
            <w:tcBorders>
              <w:top w:val="single" w:sz="4" w:space="0" w:color="000000"/>
              <w:left w:val="single" w:sz="4" w:space="0" w:color="000000"/>
              <w:bottom w:val="single" w:sz="4" w:space="0" w:color="000000"/>
              <w:right w:val="single" w:sz="4" w:space="0" w:color="000000"/>
            </w:tcBorders>
            <w:vAlign w:val="center"/>
          </w:tcPr>
          <w:p w14:paraId="45078150" w14:textId="77777777" w:rsidR="009C7506" w:rsidRDefault="008B3AB3">
            <w:pPr>
              <w:spacing w:after="0" w:line="259" w:lineRule="auto"/>
              <w:ind w:left="1" w:right="0" w:firstLine="0"/>
              <w:jc w:val="center"/>
            </w:pPr>
            <w:r>
              <w:t xml:space="preserve">(8) </w:t>
            </w:r>
          </w:p>
        </w:tc>
      </w:tr>
      <w:tr w:rsidR="009C7506" w14:paraId="3E3D4DA9" w14:textId="77777777">
        <w:trPr>
          <w:trHeight w:val="478"/>
        </w:trPr>
        <w:tc>
          <w:tcPr>
            <w:tcW w:w="0" w:type="auto"/>
            <w:vMerge/>
            <w:tcBorders>
              <w:top w:val="nil"/>
              <w:left w:val="single" w:sz="4" w:space="0" w:color="000000"/>
              <w:bottom w:val="nil"/>
              <w:right w:val="single" w:sz="4" w:space="0" w:color="000000"/>
            </w:tcBorders>
          </w:tcPr>
          <w:p w14:paraId="1F5F737D"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2BDE459F" w14:textId="77777777" w:rsidR="009C7506" w:rsidRDefault="008B3AB3">
            <w:pPr>
              <w:spacing w:after="0" w:line="259" w:lineRule="auto"/>
              <w:ind w:left="1" w:right="0" w:firstLine="0"/>
              <w:jc w:val="center"/>
            </w:pPr>
            <w:r>
              <w:t xml:space="preserve">OLS </w:t>
            </w:r>
          </w:p>
        </w:tc>
        <w:tc>
          <w:tcPr>
            <w:tcW w:w="1884" w:type="dxa"/>
            <w:tcBorders>
              <w:top w:val="single" w:sz="4" w:space="0" w:color="000000"/>
              <w:left w:val="single" w:sz="4" w:space="0" w:color="000000"/>
              <w:bottom w:val="single" w:sz="4" w:space="0" w:color="000000"/>
              <w:right w:val="single" w:sz="4" w:space="0" w:color="000000"/>
            </w:tcBorders>
            <w:vAlign w:val="center"/>
          </w:tcPr>
          <w:p w14:paraId="0921BBFB" w14:textId="77777777" w:rsidR="009C7506" w:rsidRDefault="008B3AB3">
            <w:pPr>
              <w:spacing w:after="0" w:line="259" w:lineRule="auto"/>
              <w:ind w:left="0" w:right="0" w:firstLine="0"/>
              <w:jc w:val="center"/>
            </w:pPr>
            <w:r>
              <w:t xml:space="preserve">OLS </w:t>
            </w:r>
          </w:p>
        </w:tc>
        <w:tc>
          <w:tcPr>
            <w:tcW w:w="1654" w:type="dxa"/>
            <w:tcBorders>
              <w:top w:val="single" w:sz="4" w:space="0" w:color="000000"/>
              <w:left w:val="single" w:sz="4" w:space="0" w:color="000000"/>
              <w:bottom w:val="single" w:sz="4" w:space="0" w:color="000000"/>
              <w:right w:val="single" w:sz="4" w:space="0" w:color="000000"/>
            </w:tcBorders>
            <w:vAlign w:val="center"/>
          </w:tcPr>
          <w:p w14:paraId="6E355024" w14:textId="77777777" w:rsidR="009C7506" w:rsidRDefault="008B3AB3">
            <w:pPr>
              <w:spacing w:after="0" w:line="259" w:lineRule="auto"/>
              <w:ind w:left="0" w:right="0" w:firstLine="0"/>
              <w:jc w:val="center"/>
            </w:pPr>
            <w:r>
              <w:t xml:space="preserve">OLS </w:t>
            </w:r>
          </w:p>
        </w:tc>
        <w:tc>
          <w:tcPr>
            <w:tcW w:w="1654" w:type="dxa"/>
            <w:tcBorders>
              <w:top w:val="single" w:sz="4" w:space="0" w:color="000000"/>
              <w:left w:val="single" w:sz="4" w:space="0" w:color="000000"/>
              <w:bottom w:val="single" w:sz="4" w:space="0" w:color="000000"/>
              <w:right w:val="single" w:sz="4" w:space="0" w:color="000000"/>
            </w:tcBorders>
            <w:vAlign w:val="center"/>
          </w:tcPr>
          <w:p w14:paraId="0E506B9E" w14:textId="77777777" w:rsidR="009C7506" w:rsidRDefault="008B3AB3">
            <w:pPr>
              <w:spacing w:after="0" w:line="259" w:lineRule="auto"/>
              <w:ind w:left="1" w:right="0" w:firstLine="0"/>
              <w:jc w:val="center"/>
            </w:pPr>
            <w:r>
              <w:t xml:space="preserve">OLS </w:t>
            </w:r>
          </w:p>
        </w:tc>
      </w:tr>
      <w:tr w:rsidR="009C7506" w14:paraId="2A01416A" w14:textId="77777777">
        <w:trPr>
          <w:trHeight w:val="478"/>
        </w:trPr>
        <w:tc>
          <w:tcPr>
            <w:tcW w:w="0" w:type="auto"/>
            <w:vMerge/>
            <w:tcBorders>
              <w:top w:val="nil"/>
              <w:left w:val="single" w:sz="4" w:space="0" w:color="000000"/>
              <w:bottom w:val="single" w:sz="4" w:space="0" w:color="000000"/>
              <w:right w:val="single" w:sz="4" w:space="0" w:color="000000"/>
            </w:tcBorders>
          </w:tcPr>
          <w:p w14:paraId="50D92E40"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36D02FA2" w14:textId="77777777" w:rsidR="009C7506" w:rsidRDefault="008B3AB3">
            <w:pPr>
              <w:spacing w:after="0" w:line="259" w:lineRule="auto"/>
              <w:ind w:left="0" w:right="0" w:firstLine="0"/>
              <w:jc w:val="center"/>
            </w:pPr>
            <w:r>
              <w:t xml:space="preserve">Credit spreads </w:t>
            </w:r>
          </w:p>
        </w:tc>
        <w:tc>
          <w:tcPr>
            <w:tcW w:w="1884" w:type="dxa"/>
            <w:tcBorders>
              <w:top w:val="single" w:sz="4" w:space="0" w:color="000000"/>
              <w:left w:val="single" w:sz="4" w:space="0" w:color="000000"/>
              <w:bottom w:val="single" w:sz="4" w:space="0" w:color="000000"/>
              <w:right w:val="single" w:sz="4" w:space="0" w:color="000000"/>
            </w:tcBorders>
            <w:vAlign w:val="center"/>
          </w:tcPr>
          <w:p w14:paraId="6BC02048" w14:textId="77777777" w:rsidR="009C7506" w:rsidRDefault="008B3AB3">
            <w:pPr>
              <w:spacing w:after="0" w:line="259" w:lineRule="auto"/>
              <w:ind w:left="0" w:right="0" w:firstLine="0"/>
              <w:jc w:val="center"/>
            </w:pPr>
            <w:r>
              <w:t xml:space="preserve">Credit rating </w:t>
            </w:r>
          </w:p>
        </w:tc>
        <w:tc>
          <w:tcPr>
            <w:tcW w:w="1654" w:type="dxa"/>
            <w:tcBorders>
              <w:top w:val="single" w:sz="4" w:space="0" w:color="000000"/>
              <w:left w:val="single" w:sz="4" w:space="0" w:color="000000"/>
              <w:bottom w:val="single" w:sz="4" w:space="0" w:color="000000"/>
              <w:right w:val="single" w:sz="4" w:space="0" w:color="000000"/>
            </w:tcBorders>
            <w:vAlign w:val="center"/>
          </w:tcPr>
          <w:p w14:paraId="44A36078" w14:textId="77777777" w:rsidR="009C7506" w:rsidRDefault="008B3AB3">
            <w:pPr>
              <w:spacing w:after="0" w:line="259" w:lineRule="auto"/>
              <w:ind w:left="0" w:right="0" w:firstLine="0"/>
              <w:jc w:val="center"/>
            </w:pPr>
            <w:r>
              <w:t xml:space="preserve">Credit spreads </w:t>
            </w:r>
          </w:p>
        </w:tc>
        <w:tc>
          <w:tcPr>
            <w:tcW w:w="1654" w:type="dxa"/>
            <w:tcBorders>
              <w:top w:val="single" w:sz="4" w:space="0" w:color="000000"/>
              <w:left w:val="single" w:sz="4" w:space="0" w:color="000000"/>
              <w:bottom w:val="single" w:sz="4" w:space="0" w:color="000000"/>
              <w:right w:val="single" w:sz="4" w:space="0" w:color="000000"/>
            </w:tcBorders>
            <w:vAlign w:val="center"/>
          </w:tcPr>
          <w:p w14:paraId="4AB8AE3D" w14:textId="77777777" w:rsidR="009C7506" w:rsidRDefault="008B3AB3">
            <w:pPr>
              <w:spacing w:after="0" w:line="259" w:lineRule="auto"/>
              <w:ind w:left="0" w:right="0" w:firstLine="0"/>
              <w:jc w:val="center"/>
            </w:pPr>
            <w:r>
              <w:t xml:space="preserve">Credit rating </w:t>
            </w:r>
          </w:p>
        </w:tc>
      </w:tr>
      <w:tr w:rsidR="009C7506" w14:paraId="53B377E4" w14:textId="77777777">
        <w:trPr>
          <w:trHeight w:val="48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0D373E87" w14:textId="77777777" w:rsidR="009C7506" w:rsidRDefault="008B3AB3">
            <w:pPr>
              <w:spacing w:after="0" w:line="259" w:lineRule="auto"/>
              <w:ind w:left="0" w:right="2" w:firstLine="0"/>
              <w:jc w:val="center"/>
            </w:pPr>
            <w:r>
              <w:rPr>
                <w:i/>
              </w:rPr>
              <w:t xml:space="preserve">SOE </w:t>
            </w:r>
          </w:p>
        </w:tc>
        <w:tc>
          <w:tcPr>
            <w:tcW w:w="1769" w:type="dxa"/>
            <w:tcBorders>
              <w:top w:val="single" w:sz="4" w:space="0" w:color="000000"/>
              <w:left w:val="single" w:sz="4" w:space="0" w:color="000000"/>
              <w:bottom w:val="single" w:sz="4" w:space="0" w:color="000000"/>
              <w:right w:val="single" w:sz="4" w:space="0" w:color="000000"/>
            </w:tcBorders>
            <w:vAlign w:val="center"/>
          </w:tcPr>
          <w:p w14:paraId="1B666B4E" w14:textId="77777777" w:rsidR="009C7506" w:rsidRDefault="008B3AB3">
            <w:pPr>
              <w:spacing w:after="0" w:line="259" w:lineRule="auto"/>
              <w:ind w:left="0" w:right="2" w:firstLine="0"/>
              <w:jc w:val="center"/>
            </w:pPr>
            <w:r>
              <w:t>-1.028</w:t>
            </w:r>
            <w:r>
              <w:rPr>
                <w:vertAlign w:val="superscript"/>
              </w:rPr>
              <w:t>***</w:t>
            </w:r>
            <w: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432F53E5" w14:textId="77777777" w:rsidR="009C7506" w:rsidRDefault="008B3AB3">
            <w:pPr>
              <w:spacing w:after="0" w:line="259" w:lineRule="auto"/>
              <w:ind w:left="0" w:right="2" w:firstLine="0"/>
              <w:jc w:val="center"/>
            </w:pPr>
            <w:r>
              <w:t>0.744</w:t>
            </w:r>
            <w:r>
              <w:rPr>
                <w:vertAlign w:val="superscript"/>
              </w:rPr>
              <w:t>***</w:t>
            </w:r>
            <w: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09B259C0" w14:textId="77777777" w:rsidR="009C7506" w:rsidRDefault="008B3AB3">
            <w:pPr>
              <w:spacing w:after="0" w:line="259" w:lineRule="auto"/>
              <w:ind w:left="0" w:right="3" w:firstLine="0"/>
              <w:jc w:val="center"/>
            </w:pPr>
            <w:r>
              <w:t>-1.666</w:t>
            </w:r>
            <w:r>
              <w:rPr>
                <w:vertAlign w:val="superscript"/>
              </w:rPr>
              <w:t>***</w:t>
            </w:r>
            <w: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1A29E143" w14:textId="77777777" w:rsidR="009C7506" w:rsidRDefault="008B3AB3">
            <w:pPr>
              <w:spacing w:after="0" w:line="259" w:lineRule="auto"/>
              <w:ind w:left="0" w:right="2" w:firstLine="0"/>
              <w:jc w:val="center"/>
            </w:pPr>
            <w:r>
              <w:t>0.974</w:t>
            </w:r>
            <w:r>
              <w:rPr>
                <w:vertAlign w:val="superscript"/>
              </w:rPr>
              <w:t>***</w:t>
            </w:r>
            <w:r>
              <w:t xml:space="preserve"> </w:t>
            </w:r>
          </w:p>
        </w:tc>
      </w:tr>
      <w:tr w:rsidR="009C7506" w14:paraId="34D5FA86" w14:textId="77777777">
        <w:trPr>
          <w:trHeight w:val="478"/>
        </w:trPr>
        <w:tc>
          <w:tcPr>
            <w:tcW w:w="0" w:type="auto"/>
            <w:vMerge/>
            <w:tcBorders>
              <w:top w:val="nil"/>
              <w:left w:val="single" w:sz="4" w:space="0" w:color="000000"/>
              <w:bottom w:val="single" w:sz="4" w:space="0" w:color="000000"/>
              <w:right w:val="single" w:sz="4" w:space="0" w:color="000000"/>
            </w:tcBorders>
          </w:tcPr>
          <w:p w14:paraId="270B5AA5"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79A1263C" w14:textId="77777777" w:rsidR="009C7506" w:rsidRDefault="008B3AB3">
            <w:pPr>
              <w:spacing w:after="0" w:line="259" w:lineRule="auto"/>
              <w:ind w:left="0" w:right="3" w:firstLine="0"/>
              <w:jc w:val="center"/>
            </w:pPr>
            <w:r>
              <w:t xml:space="preserve">(-6.52) </w:t>
            </w:r>
          </w:p>
        </w:tc>
        <w:tc>
          <w:tcPr>
            <w:tcW w:w="1884" w:type="dxa"/>
            <w:tcBorders>
              <w:top w:val="single" w:sz="4" w:space="0" w:color="000000"/>
              <w:left w:val="single" w:sz="4" w:space="0" w:color="000000"/>
              <w:bottom w:val="single" w:sz="4" w:space="0" w:color="000000"/>
              <w:right w:val="single" w:sz="4" w:space="0" w:color="000000"/>
            </w:tcBorders>
            <w:vAlign w:val="center"/>
          </w:tcPr>
          <w:p w14:paraId="3644B1C6" w14:textId="77777777" w:rsidR="009C7506" w:rsidRDefault="008B3AB3">
            <w:pPr>
              <w:spacing w:after="0" w:line="259" w:lineRule="auto"/>
              <w:ind w:left="1" w:right="0" w:firstLine="0"/>
              <w:jc w:val="center"/>
            </w:pPr>
            <w:r>
              <w:t xml:space="preserve">(5.84) </w:t>
            </w:r>
          </w:p>
        </w:tc>
        <w:tc>
          <w:tcPr>
            <w:tcW w:w="1654" w:type="dxa"/>
            <w:tcBorders>
              <w:top w:val="single" w:sz="4" w:space="0" w:color="000000"/>
              <w:left w:val="single" w:sz="4" w:space="0" w:color="000000"/>
              <w:bottom w:val="single" w:sz="4" w:space="0" w:color="000000"/>
              <w:right w:val="single" w:sz="4" w:space="0" w:color="000000"/>
            </w:tcBorders>
            <w:vAlign w:val="center"/>
          </w:tcPr>
          <w:p w14:paraId="0464DB04" w14:textId="77777777" w:rsidR="009C7506" w:rsidRDefault="008B3AB3">
            <w:pPr>
              <w:spacing w:after="0" w:line="259" w:lineRule="auto"/>
              <w:ind w:left="0" w:right="4" w:firstLine="0"/>
              <w:jc w:val="center"/>
            </w:pPr>
            <w:r>
              <w:t xml:space="preserve">(-6.86) </w:t>
            </w:r>
          </w:p>
        </w:tc>
        <w:tc>
          <w:tcPr>
            <w:tcW w:w="1654" w:type="dxa"/>
            <w:tcBorders>
              <w:top w:val="single" w:sz="4" w:space="0" w:color="000000"/>
              <w:left w:val="single" w:sz="4" w:space="0" w:color="000000"/>
              <w:bottom w:val="single" w:sz="4" w:space="0" w:color="000000"/>
              <w:right w:val="single" w:sz="4" w:space="0" w:color="000000"/>
            </w:tcBorders>
            <w:vAlign w:val="center"/>
          </w:tcPr>
          <w:p w14:paraId="2C32D304" w14:textId="77777777" w:rsidR="009C7506" w:rsidRDefault="008B3AB3">
            <w:pPr>
              <w:spacing w:after="0" w:line="259" w:lineRule="auto"/>
              <w:ind w:left="1" w:right="0" w:firstLine="0"/>
              <w:jc w:val="center"/>
            </w:pPr>
            <w:r>
              <w:t xml:space="preserve">(5.27) </w:t>
            </w:r>
          </w:p>
        </w:tc>
      </w:tr>
      <w:tr w:rsidR="009C7506" w14:paraId="5CB14814" w14:textId="77777777">
        <w:trPr>
          <w:trHeight w:val="478"/>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0FF8B7C1" w14:textId="77777777" w:rsidR="009C7506" w:rsidRDefault="008B3AB3">
            <w:pPr>
              <w:spacing w:after="0" w:line="259" w:lineRule="auto"/>
              <w:ind w:left="0" w:right="4" w:firstLine="0"/>
              <w:jc w:val="center"/>
            </w:pPr>
            <w:r>
              <w:rPr>
                <w:i/>
              </w:rPr>
              <w:t>UNDRR</w:t>
            </w:r>
            <w: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53AE2F1E" w14:textId="77777777" w:rsidR="009C7506" w:rsidRDefault="008B3AB3">
            <w:pPr>
              <w:spacing w:after="0" w:line="259" w:lineRule="auto"/>
              <w:ind w:left="0" w:right="2" w:firstLine="0"/>
              <w:jc w:val="center"/>
            </w:pPr>
            <w:r>
              <w:t xml:space="preserve">-0.269 </w:t>
            </w:r>
          </w:p>
        </w:tc>
        <w:tc>
          <w:tcPr>
            <w:tcW w:w="1884" w:type="dxa"/>
            <w:tcBorders>
              <w:top w:val="single" w:sz="4" w:space="0" w:color="000000"/>
              <w:left w:val="single" w:sz="4" w:space="0" w:color="000000"/>
              <w:bottom w:val="single" w:sz="4" w:space="0" w:color="000000"/>
              <w:right w:val="single" w:sz="4" w:space="0" w:color="000000"/>
            </w:tcBorders>
            <w:vAlign w:val="center"/>
          </w:tcPr>
          <w:p w14:paraId="5C528117" w14:textId="77777777" w:rsidR="009C7506" w:rsidRDefault="008B3AB3">
            <w:pPr>
              <w:spacing w:after="0" w:line="259" w:lineRule="auto"/>
              <w:ind w:left="0" w:right="0" w:firstLine="0"/>
              <w:jc w:val="center"/>
            </w:pPr>
            <w:r>
              <w:t xml:space="preserve">0.00322 </w:t>
            </w:r>
          </w:p>
        </w:tc>
        <w:tc>
          <w:tcPr>
            <w:tcW w:w="1654" w:type="dxa"/>
            <w:tcBorders>
              <w:top w:val="single" w:sz="4" w:space="0" w:color="000000"/>
              <w:left w:val="single" w:sz="4" w:space="0" w:color="000000"/>
              <w:bottom w:val="single" w:sz="4" w:space="0" w:color="000000"/>
              <w:right w:val="single" w:sz="4" w:space="0" w:color="000000"/>
            </w:tcBorders>
            <w:vAlign w:val="center"/>
          </w:tcPr>
          <w:p w14:paraId="642F3E79" w14:textId="77777777" w:rsidR="009C7506" w:rsidRDefault="008B3AB3">
            <w:pPr>
              <w:spacing w:after="0" w:line="259" w:lineRule="auto"/>
              <w:ind w:left="0" w:right="3" w:firstLine="0"/>
              <w:jc w:val="center"/>
            </w:pPr>
            <w:r>
              <w:t xml:space="preserve">-0.227 </w:t>
            </w:r>
          </w:p>
        </w:tc>
        <w:tc>
          <w:tcPr>
            <w:tcW w:w="1654" w:type="dxa"/>
            <w:tcBorders>
              <w:top w:val="single" w:sz="4" w:space="0" w:color="000000"/>
              <w:left w:val="single" w:sz="4" w:space="0" w:color="000000"/>
              <w:bottom w:val="single" w:sz="4" w:space="0" w:color="000000"/>
              <w:right w:val="single" w:sz="4" w:space="0" w:color="000000"/>
            </w:tcBorders>
            <w:vAlign w:val="center"/>
          </w:tcPr>
          <w:p w14:paraId="037C901D" w14:textId="77777777" w:rsidR="009C7506" w:rsidRDefault="008B3AB3">
            <w:pPr>
              <w:spacing w:after="0" w:line="259" w:lineRule="auto"/>
              <w:ind w:left="0" w:right="2" w:firstLine="0"/>
              <w:jc w:val="center"/>
            </w:pPr>
            <w:r>
              <w:t xml:space="preserve">-0.161 </w:t>
            </w:r>
          </w:p>
        </w:tc>
      </w:tr>
      <w:tr w:rsidR="009C7506" w14:paraId="21E6CB75" w14:textId="77777777">
        <w:trPr>
          <w:trHeight w:val="478"/>
        </w:trPr>
        <w:tc>
          <w:tcPr>
            <w:tcW w:w="0" w:type="auto"/>
            <w:vMerge/>
            <w:tcBorders>
              <w:top w:val="nil"/>
              <w:left w:val="single" w:sz="4" w:space="0" w:color="000000"/>
              <w:bottom w:val="single" w:sz="4" w:space="0" w:color="000000"/>
              <w:right w:val="single" w:sz="4" w:space="0" w:color="000000"/>
            </w:tcBorders>
          </w:tcPr>
          <w:p w14:paraId="1827132A"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2E16FB50" w14:textId="77777777" w:rsidR="009C7506" w:rsidRDefault="008B3AB3">
            <w:pPr>
              <w:spacing w:after="0" w:line="259" w:lineRule="auto"/>
              <w:ind w:left="0" w:right="3" w:firstLine="0"/>
              <w:jc w:val="center"/>
            </w:pPr>
            <w:r>
              <w:t xml:space="preserve">(-1.75) </w:t>
            </w:r>
          </w:p>
        </w:tc>
        <w:tc>
          <w:tcPr>
            <w:tcW w:w="1884" w:type="dxa"/>
            <w:tcBorders>
              <w:top w:val="single" w:sz="4" w:space="0" w:color="000000"/>
              <w:left w:val="single" w:sz="4" w:space="0" w:color="000000"/>
              <w:bottom w:val="single" w:sz="4" w:space="0" w:color="000000"/>
              <w:right w:val="single" w:sz="4" w:space="0" w:color="000000"/>
            </w:tcBorders>
            <w:vAlign w:val="center"/>
          </w:tcPr>
          <w:p w14:paraId="42B409B9" w14:textId="77777777" w:rsidR="009C7506" w:rsidRDefault="008B3AB3">
            <w:pPr>
              <w:spacing w:after="0" w:line="259" w:lineRule="auto"/>
              <w:ind w:left="1" w:right="0" w:firstLine="0"/>
              <w:jc w:val="center"/>
            </w:pPr>
            <w:r>
              <w:t xml:space="preserve">(0.02) </w:t>
            </w:r>
          </w:p>
        </w:tc>
        <w:tc>
          <w:tcPr>
            <w:tcW w:w="1654" w:type="dxa"/>
            <w:tcBorders>
              <w:top w:val="single" w:sz="4" w:space="0" w:color="000000"/>
              <w:left w:val="single" w:sz="4" w:space="0" w:color="000000"/>
              <w:bottom w:val="single" w:sz="4" w:space="0" w:color="000000"/>
              <w:right w:val="single" w:sz="4" w:space="0" w:color="000000"/>
            </w:tcBorders>
            <w:vAlign w:val="center"/>
          </w:tcPr>
          <w:p w14:paraId="0FE5D9FF" w14:textId="77777777" w:rsidR="009C7506" w:rsidRDefault="008B3AB3">
            <w:pPr>
              <w:spacing w:after="0" w:line="259" w:lineRule="auto"/>
              <w:ind w:left="0" w:right="4" w:firstLine="0"/>
              <w:jc w:val="center"/>
            </w:pPr>
            <w:r>
              <w:t xml:space="preserve">(-1.03) </w:t>
            </w:r>
          </w:p>
        </w:tc>
        <w:tc>
          <w:tcPr>
            <w:tcW w:w="1654" w:type="dxa"/>
            <w:tcBorders>
              <w:top w:val="single" w:sz="4" w:space="0" w:color="000000"/>
              <w:left w:val="single" w:sz="4" w:space="0" w:color="000000"/>
              <w:bottom w:val="single" w:sz="4" w:space="0" w:color="000000"/>
              <w:right w:val="single" w:sz="4" w:space="0" w:color="000000"/>
            </w:tcBorders>
            <w:vAlign w:val="center"/>
          </w:tcPr>
          <w:p w14:paraId="7FE8D2AA" w14:textId="77777777" w:rsidR="009C7506" w:rsidRDefault="008B3AB3">
            <w:pPr>
              <w:spacing w:after="0" w:line="259" w:lineRule="auto"/>
              <w:ind w:left="0" w:right="3" w:firstLine="0"/>
              <w:jc w:val="center"/>
            </w:pPr>
            <w:r>
              <w:t xml:space="preserve">(-0.77) </w:t>
            </w:r>
          </w:p>
        </w:tc>
      </w:tr>
      <w:tr w:rsidR="009C7506" w14:paraId="2DE35D9F" w14:textId="77777777">
        <w:trPr>
          <w:trHeight w:val="478"/>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2E17F92F" w14:textId="77777777" w:rsidR="009C7506" w:rsidRDefault="008B3AB3">
            <w:pPr>
              <w:spacing w:after="0" w:line="259" w:lineRule="auto"/>
              <w:ind w:left="3" w:right="0" w:firstLine="0"/>
              <w:jc w:val="center"/>
            </w:pPr>
            <w:r>
              <w:rPr>
                <w:i/>
              </w:rPr>
              <w:t>Term</w:t>
            </w:r>
            <w: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68BF43F5" w14:textId="77777777" w:rsidR="009C7506" w:rsidRDefault="008B3AB3">
            <w:pPr>
              <w:spacing w:after="0" w:line="259" w:lineRule="auto"/>
              <w:ind w:left="0" w:right="2" w:firstLine="0"/>
              <w:jc w:val="center"/>
            </w:pPr>
            <w:r>
              <w:t xml:space="preserve">-0.0866 </w:t>
            </w:r>
          </w:p>
        </w:tc>
        <w:tc>
          <w:tcPr>
            <w:tcW w:w="1884" w:type="dxa"/>
            <w:tcBorders>
              <w:top w:val="single" w:sz="4" w:space="0" w:color="000000"/>
              <w:left w:val="single" w:sz="4" w:space="0" w:color="000000"/>
              <w:bottom w:val="single" w:sz="4" w:space="0" w:color="000000"/>
              <w:right w:val="single" w:sz="4" w:space="0" w:color="000000"/>
            </w:tcBorders>
            <w:vAlign w:val="center"/>
          </w:tcPr>
          <w:p w14:paraId="0C9EFD93" w14:textId="77777777" w:rsidR="009C7506" w:rsidRDefault="008B3AB3">
            <w:pPr>
              <w:spacing w:after="0" w:line="259" w:lineRule="auto"/>
              <w:ind w:left="0" w:right="0" w:firstLine="0"/>
              <w:jc w:val="center"/>
            </w:pPr>
            <w:r>
              <w:t xml:space="preserve">0.0136 </w:t>
            </w:r>
          </w:p>
        </w:tc>
        <w:tc>
          <w:tcPr>
            <w:tcW w:w="1654" w:type="dxa"/>
            <w:tcBorders>
              <w:top w:val="single" w:sz="4" w:space="0" w:color="000000"/>
              <w:left w:val="single" w:sz="4" w:space="0" w:color="000000"/>
              <w:bottom w:val="single" w:sz="4" w:space="0" w:color="000000"/>
              <w:right w:val="single" w:sz="4" w:space="0" w:color="000000"/>
            </w:tcBorders>
            <w:vAlign w:val="center"/>
          </w:tcPr>
          <w:p w14:paraId="4A72B5A3" w14:textId="77777777" w:rsidR="009C7506" w:rsidRDefault="008B3AB3">
            <w:pPr>
              <w:spacing w:after="0" w:line="259" w:lineRule="auto"/>
              <w:ind w:left="0" w:right="1" w:firstLine="0"/>
              <w:jc w:val="center"/>
            </w:pPr>
            <w:r>
              <w:t xml:space="preserve">0.0202 </w:t>
            </w:r>
          </w:p>
        </w:tc>
        <w:tc>
          <w:tcPr>
            <w:tcW w:w="1654" w:type="dxa"/>
            <w:tcBorders>
              <w:top w:val="single" w:sz="4" w:space="0" w:color="000000"/>
              <w:left w:val="single" w:sz="4" w:space="0" w:color="000000"/>
              <w:bottom w:val="single" w:sz="4" w:space="0" w:color="000000"/>
              <w:right w:val="single" w:sz="4" w:space="0" w:color="000000"/>
            </w:tcBorders>
            <w:vAlign w:val="center"/>
          </w:tcPr>
          <w:p w14:paraId="2DAF01C3" w14:textId="77777777" w:rsidR="009C7506" w:rsidRDefault="008B3AB3">
            <w:pPr>
              <w:spacing w:after="0" w:line="259" w:lineRule="auto"/>
              <w:ind w:left="0" w:right="2" w:firstLine="0"/>
              <w:jc w:val="center"/>
            </w:pPr>
            <w:r>
              <w:t xml:space="preserve">-0.0389 </w:t>
            </w:r>
          </w:p>
        </w:tc>
      </w:tr>
      <w:tr w:rsidR="009C7506" w14:paraId="40A36B17" w14:textId="77777777">
        <w:trPr>
          <w:trHeight w:val="478"/>
        </w:trPr>
        <w:tc>
          <w:tcPr>
            <w:tcW w:w="0" w:type="auto"/>
            <w:vMerge/>
            <w:tcBorders>
              <w:top w:val="nil"/>
              <w:left w:val="single" w:sz="4" w:space="0" w:color="000000"/>
              <w:bottom w:val="single" w:sz="4" w:space="0" w:color="000000"/>
              <w:right w:val="single" w:sz="4" w:space="0" w:color="000000"/>
            </w:tcBorders>
          </w:tcPr>
          <w:p w14:paraId="068B770E"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2F6302D8" w14:textId="77777777" w:rsidR="009C7506" w:rsidRDefault="008B3AB3">
            <w:pPr>
              <w:spacing w:after="0" w:line="259" w:lineRule="auto"/>
              <w:ind w:left="0" w:right="3" w:firstLine="0"/>
              <w:jc w:val="center"/>
            </w:pPr>
            <w:r>
              <w:t xml:space="preserve">(-1.81) </w:t>
            </w:r>
          </w:p>
        </w:tc>
        <w:tc>
          <w:tcPr>
            <w:tcW w:w="1884" w:type="dxa"/>
            <w:tcBorders>
              <w:top w:val="single" w:sz="4" w:space="0" w:color="000000"/>
              <w:left w:val="single" w:sz="4" w:space="0" w:color="000000"/>
              <w:bottom w:val="single" w:sz="4" w:space="0" w:color="000000"/>
              <w:right w:val="single" w:sz="4" w:space="0" w:color="000000"/>
            </w:tcBorders>
            <w:vAlign w:val="center"/>
          </w:tcPr>
          <w:p w14:paraId="0470D923" w14:textId="77777777" w:rsidR="009C7506" w:rsidRDefault="008B3AB3">
            <w:pPr>
              <w:spacing w:after="0" w:line="259" w:lineRule="auto"/>
              <w:ind w:left="1" w:right="0" w:firstLine="0"/>
              <w:jc w:val="center"/>
            </w:pPr>
            <w:r>
              <w:t xml:space="preserve">(0.31) </w:t>
            </w:r>
          </w:p>
        </w:tc>
        <w:tc>
          <w:tcPr>
            <w:tcW w:w="1654" w:type="dxa"/>
            <w:tcBorders>
              <w:top w:val="single" w:sz="4" w:space="0" w:color="000000"/>
              <w:left w:val="single" w:sz="4" w:space="0" w:color="000000"/>
              <w:bottom w:val="single" w:sz="4" w:space="0" w:color="000000"/>
              <w:right w:val="single" w:sz="4" w:space="0" w:color="000000"/>
            </w:tcBorders>
            <w:vAlign w:val="center"/>
          </w:tcPr>
          <w:p w14:paraId="7846BDD2" w14:textId="77777777" w:rsidR="009C7506" w:rsidRDefault="008B3AB3">
            <w:pPr>
              <w:spacing w:after="0" w:line="259" w:lineRule="auto"/>
              <w:ind w:left="1" w:right="0" w:firstLine="0"/>
              <w:jc w:val="center"/>
            </w:pPr>
            <w:r>
              <w:t xml:space="preserve">(0.36) </w:t>
            </w:r>
          </w:p>
        </w:tc>
        <w:tc>
          <w:tcPr>
            <w:tcW w:w="1654" w:type="dxa"/>
            <w:tcBorders>
              <w:top w:val="single" w:sz="4" w:space="0" w:color="000000"/>
              <w:left w:val="single" w:sz="4" w:space="0" w:color="000000"/>
              <w:bottom w:val="single" w:sz="4" w:space="0" w:color="000000"/>
              <w:right w:val="single" w:sz="4" w:space="0" w:color="000000"/>
            </w:tcBorders>
            <w:vAlign w:val="center"/>
          </w:tcPr>
          <w:p w14:paraId="4CED24A3" w14:textId="77777777" w:rsidR="009C7506" w:rsidRDefault="008B3AB3">
            <w:pPr>
              <w:spacing w:after="0" w:line="259" w:lineRule="auto"/>
              <w:ind w:left="0" w:right="3" w:firstLine="0"/>
              <w:jc w:val="center"/>
            </w:pPr>
            <w:r>
              <w:t xml:space="preserve">(-0.73) </w:t>
            </w:r>
          </w:p>
        </w:tc>
      </w:tr>
      <w:tr w:rsidR="009C7506" w14:paraId="0F60EDAB" w14:textId="77777777">
        <w:trPr>
          <w:trHeight w:val="48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58501E15" w14:textId="77777777" w:rsidR="009C7506" w:rsidRDefault="008B3AB3">
            <w:pPr>
              <w:spacing w:after="0" w:line="259" w:lineRule="auto"/>
              <w:ind w:left="1" w:right="0" w:firstLine="0"/>
              <w:jc w:val="center"/>
            </w:pPr>
            <w:r>
              <w:rPr>
                <w:i/>
              </w:rPr>
              <w:t>TotalSize</w:t>
            </w:r>
            <w: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149EE579" w14:textId="77777777" w:rsidR="009C7506" w:rsidRDefault="008B3AB3">
            <w:pPr>
              <w:spacing w:after="0" w:line="259" w:lineRule="auto"/>
              <w:ind w:left="0" w:right="2" w:firstLine="0"/>
              <w:jc w:val="center"/>
            </w:pPr>
            <w:r>
              <w:t xml:space="preserve">-0.00719 </w:t>
            </w:r>
          </w:p>
        </w:tc>
        <w:tc>
          <w:tcPr>
            <w:tcW w:w="1884" w:type="dxa"/>
            <w:tcBorders>
              <w:top w:val="single" w:sz="4" w:space="0" w:color="000000"/>
              <w:left w:val="single" w:sz="4" w:space="0" w:color="000000"/>
              <w:bottom w:val="single" w:sz="4" w:space="0" w:color="000000"/>
              <w:right w:val="single" w:sz="4" w:space="0" w:color="000000"/>
            </w:tcBorders>
            <w:vAlign w:val="center"/>
          </w:tcPr>
          <w:p w14:paraId="2ED5FE44" w14:textId="77777777" w:rsidR="009C7506" w:rsidRDefault="008B3AB3">
            <w:pPr>
              <w:spacing w:after="0" w:line="259" w:lineRule="auto"/>
              <w:ind w:left="0" w:right="0" w:firstLine="0"/>
              <w:jc w:val="center"/>
            </w:pPr>
            <w:r>
              <w:t xml:space="preserve">0.00927 </w:t>
            </w:r>
          </w:p>
        </w:tc>
        <w:tc>
          <w:tcPr>
            <w:tcW w:w="1654" w:type="dxa"/>
            <w:tcBorders>
              <w:top w:val="single" w:sz="4" w:space="0" w:color="000000"/>
              <w:left w:val="single" w:sz="4" w:space="0" w:color="000000"/>
              <w:bottom w:val="single" w:sz="4" w:space="0" w:color="000000"/>
              <w:right w:val="single" w:sz="4" w:space="0" w:color="000000"/>
            </w:tcBorders>
            <w:vAlign w:val="center"/>
          </w:tcPr>
          <w:p w14:paraId="62885017" w14:textId="77777777" w:rsidR="009C7506" w:rsidRDefault="008B3AB3">
            <w:pPr>
              <w:spacing w:after="0" w:line="259" w:lineRule="auto"/>
              <w:ind w:left="0" w:right="3" w:firstLine="0"/>
              <w:jc w:val="center"/>
            </w:pPr>
            <w:r>
              <w:t xml:space="preserve">-0.00150 </w:t>
            </w:r>
          </w:p>
        </w:tc>
        <w:tc>
          <w:tcPr>
            <w:tcW w:w="1654" w:type="dxa"/>
            <w:tcBorders>
              <w:top w:val="single" w:sz="4" w:space="0" w:color="000000"/>
              <w:left w:val="single" w:sz="4" w:space="0" w:color="000000"/>
              <w:bottom w:val="single" w:sz="4" w:space="0" w:color="000000"/>
              <w:right w:val="single" w:sz="4" w:space="0" w:color="000000"/>
            </w:tcBorders>
            <w:vAlign w:val="center"/>
          </w:tcPr>
          <w:p w14:paraId="227576F2" w14:textId="77777777" w:rsidR="009C7506" w:rsidRDefault="008B3AB3">
            <w:pPr>
              <w:spacing w:after="0" w:line="259" w:lineRule="auto"/>
              <w:ind w:left="0" w:right="0" w:firstLine="0"/>
              <w:jc w:val="center"/>
            </w:pPr>
            <w:r>
              <w:t xml:space="preserve">0.00641 </w:t>
            </w:r>
          </w:p>
        </w:tc>
      </w:tr>
      <w:tr w:rsidR="009C7506" w14:paraId="2CE0510F" w14:textId="77777777">
        <w:trPr>
          <w:trHeight w:val="478"/>
        </w:trPr>
        <w:tc>
          <w:tcPr>
            <w:tcW w:w="0" w:type="auto"/>
            <w:vMerge/>
            <w:tcBorders>
              <w:top w:val="nil"/>
              <w:left w:val="single" w:sz="4" w:space="0" w:color="000000"/>
              <w:bottom w:val="single" w:sz="4" w:space="0" w:color="000000"/>
              <w:right w:val="single" w:sz="4" w:space="0" w:color="000000"/>
            </w:tcBorders>
          </w:tcPr>
          <w:p w14:paraId="148A851A"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2120F0F7" w14:textId="77777777" w:rsidR="009C7506" w:rsidRDefault="008B3AB3">
            <w:pPr>
              <w:spacing w:after="0" w:line="259" w:lineRule="auto"/>
              <w:ind w:left="0" w:right="3" w:firstLine="0"/>
              <w:jc w:val="center"/>
            </w:pPr>
            <w:r>
              <w:t xml:space="preserve">(-0.78) </w:t>
            </w:r>
          </w:p>
        </w:tc>
        <w:tc>
          <w:tcPr>
            <w:tcW w:w="1884" w:type="dxa"/>
            <w:tcBorders>
              <w:top w:val="single" w:sz="4" w:space="0" w:color="000000"/>
              <w:left w:val="single" w:sz="4" w:space="0" w:color="000000"/>
              <w:bottom w:val="single" w:sz="4" w:space="0" w:color="000000"/>
              <w:right w:val="single" w:sz="4" w:space="0" w:color="000000"/>
            </w:tcBorders>
            <w:vAlign w:val="center"/>
          </w:tcPr>
          <w:p w14:paraId="07C90841" w14:textId="77777777" w:rsidR="009C7506" w:rsidRDefault="008B3AB3">
            <w:pPr>
              <w:spacing w:after="0" w:line="259" w:lineRule="auto"/>
              <w:ind w:left="1" w:right="0" w:firstLine="0"/>
              <w:jc w:val="center"/>
            </w:pPr>
            <w:r>
              <w:t xml:space="preserve">(1.08) </w:t>
            </w:r>
          </w:p>
        </w:tc>
        <w:tc>
          <w:tcPr>
            <w:tcW w:w="1654" w:type="dxa"/>
            <w:tcBorders>
              <w:top w:val="single" w:sz="4" w:space="0" w:color="000000"/>
              <w:left w:val="single" w:sz="4" w:space="0" w:color="000000"/>
              <w:bottom w:val="single" w:sz="4" w:space="0" w:color="000000"/>
              <w:right w:val="single" w:sz="4" w:space="0" w:color="000000"/>
            </w:tcBorders>
            <w:vAlign w:val="center"/>
          </w:tcPr>
          <w:p w14:paraId="464E54E5" w14:textId="77777777" w:rsidR="009C7506" w:rsidRDefault="008B3AB3">
            <w:pPr>
              <w:spacing w:after="0" w:line="259" w:lineRule="auto"/>
              <w:ind w:left="0" w:right="4" w:firstLine="0"/>
              <w:jc w:val="center"/>
            </w:pPr>
            <w:r>
              <w:t xml:space="preserve">(-0.13) </w:t>
            </w:r>
          </w:p>
        </w:tc>
        <w:tc>
          <w:tcPr>
            <w:tcW w:w="1654" w:type="dxa"/>
            <w:tcBorders>
              <w:top w:val="single" w:sz="4" w:space="0" w:color="000000"/>
              <w:left w:val="single" w:sz="4" w:space="0" w:color="000000"/>
              <w:bottom w:val="single" w:sz="4" w:space="0" w:color="000000"/>
              <w:right w:val="single" w:sz="4" w:space="0" w:color="000000"/>
            </w:tcBorders>
            <w:vAlign w:val="center"/>
          </w:tcPr>
          <w:p w14:paraId="461BA045" w14:textId="77777777" w:rsidR="009C7506" w:rsidRDefault="008B3AB3">
            <w:pPr>
              <w:spacing w:after="0" w:line="259" w:lineRule="auto"/>
              <w:ind w:left="1" w:right="0" w:firstLine="0"/>
              <w:jc w:val="center"/>
            </w:pPr>
            <w:r>
              <w:t xml:space="preserve">(0.57) </w:t>
            </w:r>
          </w:p>
        </w:tc>
      </w:tr>
      <w:tr w:rsidR="009C7506" w14:paraId="0AB5C2FF" w14:textId="77777777">
        <w:trPr>
          <w:trHeight w:val="478"/>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349265B2" w14:textId="77777777" w:rsidR="009C7506" w:rsidRDefault="008B3AB3">
            <w:pPr>
              <w:spacing w:after="0" w:line="259" w:lineRule="auto"/>
              <w:ind w:left="0" w:right="1" w:firstLine="0"/>
              <w:jc w:val="center"/>
            </w:pPr>
            <w:r>
              <w:rPr>
                <w:i/>
              </w:rPr>
              <w:t>Size</w:t>
            </w:r>
            <w: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6F542ECF" w14:textId="77777777" w:rsidR="009C7506" w:rsidRDefault="008B3AB3">
            <w:pPr>
              <w:spacing w:after="0" w:line="259" w:lineRule="auto"/>
              <w:ind w:left="1" w:right="0" w:firstLine="0"/>
              <w:jc w:val="center"/>
            </w:pPr>
            <w:r>
              <w:t>-3.05e-12</w:t>
            </w:r>
            <w:r>
              <w:rPr>
                <w:vertAlign w:val="superscript"/>
              </w:rPr>
              <w:t>*</w:t>
            </w:r>
            <w: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0B94B08A" w14:textId="77777777" w:rsidR="009C7506" w:rsidRDefault="008B3AB3">
            <w:pPr>
              <w:spacing w:after="0" w:line="259" w:lineRule="auto"/>
              <w:ind w:left="0" w:right="0" w:firstLine="0"/>
              <w:jc w:val="center"/>
            </w:pPr>
            <w:r>
              <w:t>4.65e-12</w:t>
            </w:r>
            <w:r>
              <w:rPr>
                <w:vertAlign w:val="superscript"/>
              </w:rPr>
              <w:t>***</w:t>
            </w:r>
            <w: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624562FD" w14:textId="77777777" w:rsidR="009C7506" w:rsidRDefault="008B3AB3">
            <w:pPr>
              <w:spacing w:after="0" w:line="259" w:lineRule="auto"/>
              <w:ind w:left="0" w:right="5" w:firstLine="0"/>
              <w:jc w:val="center"/>
            </w:pPr>
            <w:r>
              <w:t xml:space="preserve">-5.87e-12 </w:t>
            </w:r>
          </w:p>
        </w:tc>
        <w:tc>
          <w:tcPr>
            <w:tcW w:w="1654" w:type="dxa"/>
            <w:tcBorders>
              <w:top w:val="single" w:sz="4" w:space="0" w:color="000000"/>
              <w:left w:val="single" w:sz="4" w:space="0" w:color="000000"/>
              <w:bottom w:val="single" w:sz="4" w:space="0" w:color="000000"/>
              <w:right w:val="single" w:sz="4" w:space="0" w:color="000000"/>
            </w:tcBorders>
            <w:vAlign w:val="center"/>
          </w:tcPr>
          <w:p w14:paraId="1AF38158" w14:textId="77777777" w:rsidR="009C7506" w:rsidRDefault="008B3AB3">
            <w:pPr>
              <w:spacing w:after="0" w:line="259" w:lineRule="auto"/>
              <w:ind w:left="0" w:right="0" w:firstLine="0"/>
              <w:jc w:val="center"/>
            </w:pPr>
            <w:r>
              <w:t>9.29e-12</w:t>
            </w:r>
            <w:r>
              <w:rPr>
                <w:vertAlign w:val="superscript"/>
              </w:rPr>
              <w:t>*</w:t>
            </w:r>
            <w:r>
              <w:t xml:space="preserve"> </w:t>
            </w:r>
          </w:p>
        </w:tc>
      </w:tr>
      <w:tr w:rsidR="009C7506" w14:paraId="133D0894" w14:textId="77777777">
        <w:trPr>
          <w:trHeight w:val="478"/>
        </w:trPr>
        <w:tc>
          <w:tcPr>
            <w:tcW w:w="0" w:type="auto"/>
            <w:vMerge/>
            <w:tcBorders>
              <w:top w:val="nil"/>
              <w:left w:val="single" w:sz="4" w:space="0" w:color="000000"/>
              <w:bottom w:val="single" w:sz="4" w:space="0" w:color="000000"/>
              <w:right w:val="single" w:sz="4" w:space="0" w:color="000000"/>
            </w:tcBorders>
          </w:tcPr>
          <w:p w14:paraId="7A0662B0"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6204E0AA" w14:textId="77777777" w:rsidR="009C7506" w:rsidRDefault="008B3AB3">
            <w:pPr>
              <w:spacing w:after="0" w:line="259" w:lineRule="auto"/>
              <w:ind w:left="0" w:right="3" w:firstLine="0"/>
              <w:jc w:val="center"/>
            </w:pPr>
            <w:r>
              <w:t xml:space="preserve">(-2.04) </w:t>
            </w:r>
          </w:p>
        </w:tc>
        <w:tc>
          <w:tcPr>
            <w:tcW w:w="1884" w:type="dxa"/>
            <w:tcBorders>
              <w:top w:val="single" w:sz="4" w:space="0" w:color="000000"/>
              <w:left w:val="single" w:sz="4" w:space="0" w:color="000000"/>
              <w:bottom w:val="single" w:sz="4" w:space="0" w:color="000000"/>
              <w:right w:val="single" w:sz="4" w:space="0" w:color="000000"/>
            </w:tcBorders>
            <w:vAlign w:val="center"/>
          </w:tcPr>
          <w:p w14:paraId="702BB4CB" w14:textId="77777777" w:rsidR="009C7506" w:rsidRDefault="008B3AB3">
            <w:pPr>
              <w:spacing w:after="0" w:line="259" w:lineRule="auto"/>
              <w:ind w:left="1" w:right="0" w:firstLine="0"/>
              <w:jc w:val="center"/>
            </w:pPr>
            <w:r>
              <w:t xml:space="preserve">(3.52) </w:t>
            </w:r>
          </w:p>
        </w:tc>
        <w:tc>
          <w:tcPr>
            <w:tcW w:w="1654" w:type="dxa"/>
            <w:tcBorders>
              <w:top w:val="single" w:sz="4" w:space="0" w:color="000000"/>
              <w:left w:val="single" w:sz="4" w:space="0" w:color="000000"/>
              <w:bottom w:val="single" w:sz="4" w:space="0" w:color="000000"/>
              <w:right w:val="single" w:sz="4" w:space="0" w:color="000000"/>
            </w:tcBorders>
            <w:vAlign w:val="center"/>
          </w:tcPr>
          <w:p w14:paraId="57C3C42F" w14:textId="77777777" w:rsidR="009C7506" w:rsidRDefault="008B3AB3">
            <w:pPr>
              <w:spacing w:after="0" w:line="259" w:lineRule="auto"/>
              <w:ind w:left="0" w:right="4" w:firstLine="0"/>
              <w:jc w:val="center"/>
            </w:pPr>
            <w:r>
              <w:t xml:space="preserve">(-1.52) </w:t>
            </w:r>
          </w:p>
        </w:tc>
        <w:tc>
          <w:tcPr>
            <w:tcW w:w="1654" w:type="dxa"/>
            <w:tcBorders>
              <w:top w:val="single" w:sz="4" w:space="0" w:color="000000"/>
              <w:left w:val="single" w:sz="4" w:space="0" w:color="000000"/>
              <w:bottom w:val="single" w:sz="4" w:space="0" w:color="000000"/>
              <w:right w:val="single" w:sz="4" w:space="0" w:color="000000"/>
            </w:tcBorders>
            <w:vAlign w:val="center"/>
          </w:tcPr>
          <w:p w14:paraId="0C4A2368" w14:textId="77777777" w:rsidR="009C7506" w:rsidRDefault="008B3AB3">
            <w:pPr>
              <w:spacing w:after="0" w:line="259" w:lineRule="auto"/>
              <w:ind w:left="1" w:right="0" w:firstLine="0"/>
              <w:jc w:val="center"/>
            </w:pPr>
            <w:r>
              <w:t xml:space="preserve">(2.59) </w:t>
            </w:r>
          </w:p>
        </w:tc>
      </w:tr>
      <w:tr w:rsidR="009C7506" w14:paraId="3546FFD6" w14:textId="77777777">
        <w:trPr>
          <w:trHeight w:val="478"/>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277EC74C" w14:textId="77777777" w:rsidR="009C7506" w:rsidRDefault="008B3AB3">
            <w:pPr>
              <w:spacing w:after="0" w:line="259" w:lineRule="auto"/>
              <w:ind w:left="16" w:right="0" w:firstLine="0"/>
              <w:jc w:val="center"/>
            </w:pPr>
            <w:r>
              <w:t xml:space="preserve">Short-term solvency factor </w:t>
            </w:r>
          </w:p>
        </w:tc>
        <w:tc>
          <w:tcPr>
            <w:tcW w:w="1769" w:type="dxa"/>
            <w:tcBorders>
              <w:top w:val="single" w:sz="4" w:space="0" w:color="000000"/>
              <w:left w:val="single" w:sz="4" w:space="0" w:color="000000"/>
              <w:bottom w:val="single" w:sz="4" w:space="0" w:color="000000"/>
              <w:right w:val="single" w:sz="4" w:space="0" w:color="000000"/>
            </w:tcBorders>
            <w:vAlign w:val="center"/>
          </w:tcPr>
          <w:p w14:paraId="45B0648F" w14:textId="77777777" w:rsidR="009C7506" w:rsidRDefault="008B3AB3">
            <w:pPr>
              <w:spacing w:after="0" w:line="259" w:lineRule="auto"/>
              <w:ind w:left="1" w:right="0" w:firstLine="0"/>
              <w:jc w:val="center"/>
            </w:pPr>
            <w:r>
              <w:t xml:space="preserve">0.523 </w:t>
            </w:r>
          </w:p>
        </w:tc>
        <w:tc>
          <w:tcPr>
            <w:tcW w:w="1884" w:type="dxa"/>
            <w:tcBorders>
              <w:top w:val="single" w:sz="4" w:space="0" w:color="000000"/>
              <w:left w:val="single" w:sz="4" w:space="0" w:color="000000"/>
              <w:bottom w:val="single" w:sz="4" w:space="0" w:color="000000"/>
              <w:right w:val="single" w:sz="4" w:space="0" w:color="000000"/>
            </w:tcBorders>
            <w:vAlign w:val="center"/>
          </w:tcPr>
          <w:p w14:paraId="1B0E9366" w14:textId="77777777" w:rsidR="009C7506" w:rsidRDefault="008B3AB3">
            <w:pPr>
              <w:spacing w:after="0" w:line="259" w:lineRule="auto"/>
              <w:ind w:left="0" w:right="0" w:firstLine="0"/>
              <w:jc w:val="center"/>
            </w:pPr>
            <w:r>
              <w:t xml:space="preserve">0.701 </w:t>
            </w:r>
          </w:p>
        </w:tc>
        <w:tc>
          <w:tcPr>
            <w:tcW w:w="1654" w:type="dxa"/>
            <w:tcBorders>
              <w:top w:val="single" w:sz="4" w:space="0" w:color="000000"/>
              <w:left w:val="single" w:sz="4" w:space="0" w:color="000000"/>
              <w:bottom w:val="single" w:sz="4" w:space="0" w:color="000000"/>
              <w:right w:val="single" w:sz="4" w:space="0" w:color="000000"/>
            </w:tcBorders>
            <w:vAlign w:val="center"/>
          </w:tcPr>
          <w:p w14:paraId="1939748B" w14:textId="77777777" w:rsidR="009C7506" w:rsidRDefault="008B3AB3">
            <w:pPr>
              <w:spacing w:after="0" w:line="259" w:lineRule="auto"/>
              <w:ind w:left="0" w:right="1" w:firstLine="0"/>
              <w:jc w:val="center"/>
            </w:pPr>
            <w:r>
              <w:t xml:space="preserve">0.185 </w:t>
            </w:r>
          </w:p>
        </w:tc>
        <w:tc>
          <w:tcPr>
            <w:tcW w:w="1654" w:type="dxa"/>
            <w:tcBorders>
              <w:top w:val="single" w:sz="4" w:space="0" w:color="000000"/>
              <w:left w:val="single" w:sz="4" w:space="0" w:color="000000"/>
              <w:bottom w:val="single" w:sz="4" w:space="0" w:color="000000"/>
              <w:right w:val="single" w:sz="4" w:space="0" w:color="000000"/>
            </w:tcBorders>
            <w:vAlign w:val="center"/>
          </w:tcPr>
          <w:p w14:paraId="4C38ACB8" w14:textId="77777777" w:rsidR="009C7506" w:rsidRDefault="008B3AB3">
            <w:pPr>
              <w:spacing w:after="0" w:line="259" w:lineRule="auto"/>
              <w:ind w:left="2" w:right="0" w:firstLine="0"/>
              <w:jc w:val="center"/>
            </w:pPr>
            <w:r>
              <w:t>4.756</w:t>
            </w:r>
            <w:r>
              <w:rPr>
                <w:vertAlign w:val="superscript"/>
              </w:rPr>
              <w:t>*</w:t>
            </w:r>
            <w:r>
              <w:t xml:space="preserve"> </w:t>
            </w:r>
          </w:p>
        </w:tc>
      </w:tr>
      <w:tr w:rsidR="009C7506" w14:paraId="6A5D818A" w14:textId="77777777">
        <w:trPr>
          <w:trHeight w:val="937"/>
        </w:trPr>
        <w:tc>
          <w:tcPr>
            <w:tcW w:w="0" w:type="auto"/>
            <w:vMerge/>
            <w:tcBorders>
              <w:top w:val="nil"/>
              <w:left w:val="single" w:sz="4" w:space="0" w:color="000000"/>
              <w:bottom w:val="single" w:sz="4" w:space="0" w:color="000000"/>
              <w:right w:val="single" w:sz="4" w:space="0" w:color="000000"/>
            </w:tcBorders>
          </w:tcPr>
          <w:p w14:paraId="7FD18B48"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tcPr>
          <w:p w14:paraId="24D9417E" w14:textId="77777777" w:rsidR="009C7506" w:rsidRDefault="008B3AB3">
            <w:pPr>
              <w:spacing w:after="0" w:line="259" w:lineRule="auto"/>
              <w:ind w:left="2" w:right="0" w:firstLine="0"/>
              <w:jc w:val="center"/>
            </w:pPr>
            <w:r>
              <w:t xml:space="preserve">(0.31) </w:t>
            </w:r>
          </w:p>
        </w:tc>
        <w:tc>
          <w:tcPr>
            <w:tcW w:w="1884" w:type="dxa"/>
            <w:tcBorders>
              <w:top w:val="single" w:sz="4" w:space="0" w:color="000000"/>
              <w:left w:val="single" w:sz="4" w:space="0" w:color="000000"/>
              <w:bottom w:val="single" w:sz="4" w:space="0" w:color="000000"/>
              <w:right w:val="single" w:sz="4" w:space="0" w:color="000000"/>
            </w:tcBorders>
          </w:tcPr>
          <w:p w14:paraId="3DB24DD3" w14:textId="77777777" w:rsidR="009C7506" w:rsidRDefault="008B3AB3">
            <w:pPr>
              <w:spacing w:after="0" w:line="259" w:lineRule="auto"/>
              <w:ind w:left="1" w:right="0" w:firstLine="0"/>
              <w:jc w:val="center"/>
            </w:pPr>
            <w:r>
              <w:t xml:space="preserve">(0.45) </w:t>
            </w:r>
          </w:p>
        </w:tc>
        <w:tc>
          <w:tcPr>
            <w:tcW w:w="1654" w:type="dxa"/>
            <w:tcBorders>
              <w:top w:val="single" w:sz="4" w:space="0" w:color="000000"/>
              <w:left w:val="single" w:sz="4" w:space="0" w:color="000000"/>
              <w:bottom w:val="single" w:sz="4" w:space="0" w:color="000000"/>
              <w:right w:val="single" w:sz="4" w:space="0" w:color="000000"/>
            </w:tcBorders>
          </w:tcPr>
          <w:p w14:paraId="7C606354" w14:textId="77777777" w:rsidR="009C7506" w:rsidRDefault="008B3AB3">
            <w:pPr>
              <w:spacing w:after="0" w:line="259" w:lineRule="auto"/>
              <w:ind w:left="1" w:right="0" w:firstLine="0"/>
              <w:jc w:val="center"/>
            </w:pPr>
            <w:r>
              <w:t xml:space="preserve">(0.08) </w:t>
            </w:r>
          </w:p>
        </w:tc>
        <w:tc>
          <w:tcPr>
            <w:tcW w:w="1654" w:type="dxa"/>
            <w:tcBorders>
              <w:top w:val="single" w:sz="4" w:space="0" w:color="000000"/>
              <w:left w:val="single" w:sz="4" w:space="0" w:color="000000"/>
              <w:bottom w:val="single" w:sz="4" w:space="0" w:color="000000"/>
              <w:right w:val="single" w:sz="4" w:space="0" w:color="000000"/>
            </w:tcBorders>
          </w:tcPr>
          <w:p w14:paraId="18CF78E4" w14:textId="77777777" w:rsidR="009C7506" w:rsidRDefault="008B3AB3">
            <w:pPr>
              <w:spacing w:after="0" w:line="259" w:lineRule="auto"/>
              <w:ind w:left="1" w:right="0" w:firstLine="0"/>
              <w:jc w:val="center"/>
            </w:pPr>
            <w:r>
              <w:t xml:space="preserve">(2.10) </w:t>
            </w:r>
          </w:p>
        </w:tc>
      </w:tr>
      <w:tr w:rsidR="009C7506" w14:paraId="0B4C4646" w14:textId="77777777">
        <w:trPr>
          <w:trHeight w:val="478"/>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203F8C9C" w14:textId="77777777" w:rsidR="009C7506" w:rsidRDefault="008B3AB3">
            <w:pPr>
              <w:spacing w:after="192" w:line="259" w:lineRule="auto"/>
              <w:ind w:left="3" w:right="0" w:firstLine="0"/>
              <w:jc w:val="center"/>
            </w:pPr>
            <w:r>
              <w:t xml:space="preserve">Long-term </w:t>
            </w:r>
          </w:p>
          <w:p w14:paraId="410211B7" w14:textId="77777777" w:rsidR="009C7506" w:rsidRDefault="008B3AB3">
            <w:pPr>
              <w:spacing w:after="0" w:line="259" w:lineRule="auto"/>
              <w:ind w:left="0" w:right="0" w:firstLine="0"/>
              <w:jc w:val="center"/>
            </w:pPr>
            <w:r>
              <w:t xml:space="preserve">profitability factor </w:t>
            </w:r>
          </w:p>
        </w:tc>
        <w:tc>
          <w:tcPr>
            <w:tcW w:w="1769" w:type="dxa"/>
            <w:tcBorders>
              <w:top w:val="single" w:sz="4" w:space="0" w:color="000000"/>
              <w:left w:val="single" w:sz="4" w:space="0" w:color="000000"/>
              <w:bottom w:val="single" w:sz="4" w:space="0" w:color="000000"/>
              <w:right w:val="single" w:sz="4" w:space="0" w:color="000000"/>
            </w:tcBorders>
            <w:vAlign w:val="center"/>
          </w:tcPr>
          <w:p w14:paraId="076E798B" w14:textId="77777777" w:rsidR="009C7506" w:rsidRDefault="008B3AB3">
            <w:pPr>
              <w:spacing w:after="0" w:line="259" w:lineRule="auto"/>
              <w:ind w:left="0" w:right="2" w:firstLine="0"/>
              <w:jc w:val="center"/>
            </w:pPr>
            <w:r>
              <w:t>-3.073</w:t>
            </w:r>
            <w:r>
              <w:rPr>
                <w:vertAlign w:val="superscript"/>
              </w:rPr>
              <w:t>***</w:t>
            </w:r>
            <w: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343977BA" w14:textId="77777777" w:rsidR="009C7506" w:rsidRDefault="008B3AB3">
            <w:pPr>
              <w:spacing w:after="0" w:line="259" w:lineRule="auto"/>
              <w:ind w:left="0" w:right="0" w:firstLine="0"/>
              <w:jc w:val="center"/>
            </w:pPr>
            <w:r>
              <w:t xml:space="preserve">0.144 </w:t>
            </w:r>
          </w:p>
        </w:tc>
        <w:tc>
          <w:tcPr>
            <w:tcW w:w="1654" w:type="dxa"/>
            <w:tcBorders>
              <w:top w:val="single" w:sz="4" w:space="0" w:color="000000"/>
              <w:left w:val="single" w:sz="4" w:space="0" w:color="000000"/>
              <w:bottom w:val="single" w:sz="4" w:space="0" w:color="000000"/>
              <w:right w:val="single" w:sz="4" w:space="0" w:color="000000"/>
            </w:tcBorders>
            <w:vAlign w:val="center"/>
          </w:tcPr>
          <w:p w14:paraId="1BB2F72F" w14:textId="77777777" w:rsidR="009C7506" w:rsidRDefault="008B3AB3">
            <w:pPr>
              <w:spacing w:after="0" w:line="259" w:lineRule="auto"/>
              <w:ind w:left="0" w:right="3" w:firstLine="0"/>
              <w:jc w:val="center"/>
            </w:pPr>
            <w:r>
              <w:t>-3.505</w:t>
            </w:r>
            <w:r>
              <w:rPr>
                <w:vertAlign w:val="superscript"/>
              </w:rPr>
              <w:t>***</w:t>
            </w:r>
            <w: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3BC18D08" w14:textId="77777777" w:rsidR="009C7506" w:rsidRDefault="008B3AB3">
            <w:pPr>
              <w:spacing w:after="0" w:line="259" w:lineRule="auto"/>
              <w:ind w:left="0" w:right="0" w:firstLine="0"/>
              <w:jc w:val="center"/>
            </w:pPr>
            <w:r>
              <w:t xml:space="preserve">0.160 </w:t>
            </w:r>
          </w:p>
        </w:tc>
      </w:tr>
      <w:tr w:rsidR="009C7506" w14:paraId="0CBD48FC" w14:textId="77777777">
        <w:trPr>
          <w:trHeight w:val="936"/>
        </w:trPr>
        <w:tc>
          <w:tcPr>
            <w:tcW w:w="0" w:type="auto"/>
            <w:vMerge/>
            <w:tcBorders>
              <w:top w:val="nil"/>
              <w:left w:val="single" w:sz="4" w:space="0" w:color="000000"/>
              <w:bottom w:val="single" w:sz="4" w:space="0" w:color="000000"/>
              <w:right w:val="single" w:sz="4" w:space="0" w:color="000000"/>
            </w:tcBorders>
          </w:tcPr>
          <w:p w14:paraId="0830A128"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tcPr>
          <w:p w14:paraId="4CA33813" w14:textId="77777777" w:rsidR="009C7506" w:rsidRDefault="008B3AB3">
            <w:pPr>
              <w:spacing w:after="0" w:line="259" w:lineRule="auto"/>
              <w:ind w:left="0" w:right="3" w:firstLine="0"/>
              <w:jc w:val="center"/>
            </w:pPr>
            <w:r>
              <w:t xml:space="preserve">(-4.00) </w:t>
            </w:r>
          </w:p>
        </w:tc>
        <w:tc>
          <w:tcPr>
            <w:tcW w:w="1884" w:type="dxa"/>
            <w:tcBorders>
              <w:top w:val="single" w:sz="4" w:space="0" w:color="000000"/>
              <w:left w:val="single" w:sz="4" w:space="0" w:color="000000"/>
              <w:bottom w:val="single" w:sz="4" w:space="0" w:color="000000"/>
              <w:right w:val="single" w:sz="4" w:space="0" w:color="000000"/>
            </w:tcBorders>
          </w:tcPr>
          <w:p w14:paraId="2CAB01C0" w14:textId="77777777" w:rsidR="009C7506" w:rsidRDefault="008B3AB3">
            <w:pPr>
              <w:spacing w:after="0" w:line="259" w:lineRule="auto"/>
              <w:ind w:left="1" w:right="0" w:firstLine="0"/>
              <w:jc w:val="center"/>
            </w:pPr>
            <w:r>
              <w:t xml:space="preserve">(0.20) </w:t>
            </w:r>
          </w:p>
        </w:tc>
        <w:tc>
          <w:tcPr>
            <w:tcW w:w="1654" w:type="dxa"/>
            <w:tcBorders>
              <w:top w:val="single" w:sz="4" w:space="0" w:color="000000"/>
              <w:left w:val="single" w:sz="4" w:space="0" w:color="000000"/>
              <w:bottom w:val="single" w:sz="4" w:space="0" w:color="000000"/>
              <w:right w:val="single" w:sz="4" w:space="0" w:color="000000"/>
            </w:tcBorders>
          </w:tcPr>
          <w:p w14:paraId="376EFC37" w14:textId="77777777" w:rsidR="009C7506" w:rsidRDefault="008B3AB3">
            <w:pPr>
              <w:spacing w:after="0" w:line="259" w:lineRule="auto"/>
              <w:ind w:left="0" w:right="4" w:firstLine="0"/>
              <w:jc w:val="center"/>
            </w:pPr>
            <w:r>
              <w:t xml:space="preserve">(-3.51) </w:t>
            </w:r>
          </w:p>
        </w:tc>
        <w:tc>
          <w:tcPr>
            <w:tcW w:w="1654" w:type="dxa"/>
            <w:tcBorders>
              <w:top w:val="single" w:sz="4" w:space="0" w:color="000000"/>
              <w:left w:val="single" w:sz="4" w:space="0" w:color="000000"/>
              <w:bottom w:val="single" w:sz="4" w:space="0" w:color="000000"/>
              <w:right w:val="single" w:sz="4" w:space="0" w:color="000000"/>
            </w:tcBorders>
          </w:tcPr>
          <w:p w14:paraId="37CE9F2D" w14:textId="77777777" w:rsidR="009C7506" w:rsidRDefault="008B3AB3">
            <w:pPr>
              <w:spacing w:after="0" w:line="259" w:lineRule="auto"/>
              <w:ind w:left="1" w:right="0" w:firstLine="0"/>
              <w:jc w:val="center"/>
            </w:pPr>
            <w:r>
              <w:t xml:space="preserve">(0.16) </w:t>
            </w:r>
          </w:p>
        </w:tc>
      </w:tr>
      <w:tr w:rsidR="009C7506" w14:paraId="7DEBF44A" w14:textId="77777777">
        <w:trPr>
          <w:trHeight w:val="48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54A59189" w14:textId="77777777" w:rsidR="009C7506" w:rsidRDefault="008B3AB3">
            <w:pPr>
              <w:spacing w:after="0" w:line="259" w:lineRule="auto"/>
              <w:ind w:left="0" w:right="0" w:firstLine="0"/>
              <w:jc w:val="center"/>
            </w:pPr>
            <w:r>
              <w:t xml:space="preserve">Short -term profitability </w:t>
            </w:r>
          </w:p>
        </w:tc>
        <w:tc>
          <w:tcPr>
            <w:tcW w:w="1769" w:type="dxa"/>
            <w:tcBorders>
              <w:top w:val="single" w:sz="4" w:space="0" w:color="000000"/>
              <w:left w:val="single" w:sz="4" w:space="0" w:color="000000"/>
              <w:bottom w:val="single" w:sz="4" w:space="0" w:color="000000"/>
              <w:right w:val="single" w:sz="4" w:space="0" w:color="000000"/>
            </w:tcBorders>
            <w:vAlign w:val="center"/>
          </w:tcPr>
          <w:p w14:paraId="6ECD1221" w14:textId="77777777" w:rsidR="009C7506" w:rsidRDefault="008B3AB3">
            <w:pPr>
              <w:spacing w:after="0" w:line="259" w:lineRule="auto"/>
              <w:ind w:left="0" w:right="2" w:firstLine="0"/>
              <w:jc w:val="center"/>
            </w:pPr>
            <w:r>
              <w:t>-0.822</w:t>
            </w:r>
            <w:r>
              <w:rPr>
                <w:vertAlign w:val="superscript"/>
              </w:rPr>
              <w:t>*</w:t>
            </w:r>
            <w: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4C3D6244" w14:textId="77777777" w:rsidR="009C7506" w:rsidRDefault="008B3AB3">
            <w:pPr>
              <w:spacing w:after="0" w:line="259" w:lineRule="auto"/>
              <w:ind w:left="0" w:right="3" w:firstLine="0"/>
              <w:jc w:val="center"/>
            </w:pPr>
            <w:r>
              <w:t xml:space="preserve">-0.0369 </w:t>
            </w:r>
          </w:p>
        </w:tc>
        <w:tc>
          <w:tcPr>
            <w:tcW w:w="1654" w:type="dxa"/>
            <w:tcBorders>
              <w:top w:val="single" w:sz="4" w:space="0" w:color="000000"/>
              <w:left w:val="single" w:sz="4" w:space="0" w:color="000000"/>
              <w:bottom w:val="single" w:sz="4" w:space="0" w:color="000000"/>
              <w:right w:val="single" w:sz="4" w:space="0" w:color="000000"/>
            </w:tcBorders>
            <w:vAlign w:val="center"/>
          </w:tcPr>
          <w:p w14:paraId="69EFA24B" w14:textId="77777777" w:rsidR="009C7506" w:rsidRDefault="008B3AB3">
            <w:pPr>
              <w:spacing w:after="0" w:line="259" w:lineRule="auto"/>
              <w:ind w:left="0" w:right="3" w:firstLine="0"/>
              <w:jc w:val="center"/>
            </w:pPr>
            <w:r>
              <w:t xml:space="preserve">-0.566 </w:t>
            </w:r>
          </w:p>
        </w:tc>
        <w:tc>
          <w:tcPr>
            <w:tcW w:w="1654" w:type="dxa"/>
            <w:tcBorders>
              <w:top w:val="single" w:sz="4" w:space="0" w:color="000000"/>
              <w:left w:val="single" w:sz="4" w:space="0" w:color="000000"/>
              <w:bottom w:val="single" w:sz="4" w:space="0" w:color="000000"/>
              <w:right w:val="single" w:sz="4" w:space="0" w:color="000000"/>
            </w:tcBorders>
            <w:vAlign w:val="center"/>
          </w:tcPr>
          <w:p w14:paraId="2931FE0D" w14:textId="77777777" w:rsidR="009C7506" w:rsidRDefault="008B3AB3">
            <w:pPr>
              <w:spacing w:after="0" w:line="259" w:lineRule="auto"/>
              <w:ind w:left="0" w:right="0" w:firstLine="0"/>
              <w:jc w:val="center"/>
            </w:pPr>
            <w:r>
              <w:t xml:space="preserve">0.396 </w:t>
            </w:r>
          </w:p>
        </w:tc>
      </w:tr>
      <w:tr w:rsidR="009C7506" w14:paraId="7C4848A4" w14:textId="77777777">
        <w:trPr>
          <w:trHeight w:val="478"/>
        </w:trPr>
        <w:tc>
          <w:tcPr>
            <w:tcW w:w="0" w:type="auto"/>
            <w:vMerge/>
            <w:tcBorders>
              <w:top w:val="nil"/>
              <w:left w:val="single" w:sz="4" w:space="0" w:color="000000"/>
              <w:bottom w:val="single" w:sz="4" w:space="0" w:color="000000"/>
              <w:right w:val="single" w:sz="4" w:space="0" w:color="000000"/>
            </w:tcBorders>
          </w:tcPr>
          <w:p w14:paraId="6007A43B"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20345443" w14:textId="77777777" w:rsidR="009C7506" w:rsidRDefault="008B3AB3">
            <w:pPr>
              <w:spacing w:after="0" w:line="259" w:lineRule="auto"/>
              <w:ind w:left="0" w:right="3" w:firstLine="0"/>
              <w:jc w:val="center"/>
            </w:pPr>
            <w:r>
              <w:t xml:space="preserve">(-2.55) </w:t>
            </w:r>
          </w:p>
        </w:tc>
        <w:tc>
          <w:tcPr>
            <w:tcW w:w="1884" w:type="dxa"/>
            <w:tcBorders>
              <w:top w:val="single" w:sz="4" w:space="0" w:color="000000"/>
              <w:left w:val="single" w:sz="4" w:space="0" w:color="000000"/>
              <w:bottom w:val="single" w:sz="4" w:space="0" w:color="000000"/>
              <w:right w:val="single" w:sz="4" w:space="0" w:color="000000"/>
            </w:tcBorders>
            <w:vAlign w:val="center"/>
          </w:tcPr>
          <w:p w14:paraId="1291463D" w14:textId="77777777" w:rsidR="009C7506" w:rsidRDefault="008B3AB3">
            <w:pPr>
              <w:spacing w:after="0" w:line="259" w:lineRule="auto"/>
              <w:ind w:left="0" w:right="4" w:firstLine="0"/>
              <w:jc w:val="center"/>
            </w:pPr>
            <w:r>
              <w:t xml:space="preserve">(-0.12) </w:t>
            </w:r>
          </w:p>
        </w:tc>
        <w:tc>
          <w:tcPr>
            <w:tcW w:w="1654" w:type="dxa"/>
            <w:tcBorders>
              <w:top w:val="single" w:sz="4" w:space="0" w:color="000000"/>
              <w:left w:val="single" w:sz="4" w:space="0" w:color="000000"/>
              <w:bottom w:val="single" w:sz="4" w:space="0" w:color="000000"/>
              <w:right w:val="single" w:sz="4" w:space="0" w:color="000000"/>
            </w:tcBorders>
            <w:vAlign w:val="center"/>
          </w:tcPr>
          <w:p w14:paraId="6A4058F7" w14:textId="77777777" w:rsidR="009C7506" w:rsidRDefault="008B3AB3">
            <w:pPr>
              <w:spacing w:after="0" w:line="259" w:lineRule="auto"/>
              <w:ind w:left="0" w:right="4" w:firstLine="0"/>
              <w:jc w:val="center"/>
            </w:pPr>
            <w:r>
              <w:t xml:space="preserve">(-1.29) </w:t>
            </w:r>
          </w:p>
        </w:tc>
        <w:tc>
          <w:tcPr>
            <w:tcW w:w="1654" w:type="dxa"/>
            <w:tcBorders>
              <w:top w:val="single" w:sz="4" w:space="0" w:color="000000"/>
              <w:left w:val="single" w:sz="4" w:space="0" w:color="000000"/>
              <w:bottom w:val="single" w:sz="4" w:space="0" w:color="000000"/>
              <w:right w:val="single" w:sz="4" w:space="0" w:color="000000"/>
            </w:tcBorders>
            <w:vAlign w:val="center"/>
          </w:tcPr>
          <w:p w14:paraId="41A1EE85" w14:textId="77777777" w:rsidR="009C7506" w:rsidRDefault="008B3AB3">
            <w:pPr>
              <w:spacing w:after="0" w:line="259" w:lineRule="auto"/>
              <w:ind w:left="1" w:right="0" w:firstLine="0"/>
              <w:jc w:val="center"/>
            </w:pPr>
            <w:r>
              <w:t xml:space="preserve">(0.94) </w:t>
            </w:r>
          </w:p>
        </w:tc>
      </w:tr>
      <w:tr w:rsidR="009C7506" w14:paraId="0C10AEB8" w14:textId="77777777">
        <w:trPr>
          <w:trHeight w:val="478"/>
        </w:trPr>
        <w:tc>
          <w:tcPr>
            <w:tcW w:w="1562" w:type="dxa"/>
            <w:tcBorders>
              <w:top w:val="single" w:sz="4" w:space="0" w:color="000000"/>
              <w:left w:val="single" w:sz="4" w:space="0" w:color="000000"/>
              <w:bottom w:val="single" w:sz="4" w:space="0" w:color="000000"/>
              <w:right w:val="single" w:sz="4" w:space="0" w:color="000000"/>
            </w:tcBorders>
            <w:vAlign w:val="center"/>
          </w:tcPr>
          <w:p w14:paraId="7C17C418" w14:textId="77777777" w:rsidR="009C7506" w:rsidRDefault="008B3AB3">
            <w:pPr>
              <w:spacing w:after="0" w:line="259" w:lineRule="auto"/>
              <w:ind w:left="0" w:right="55" w:firstLine="0"/>
              <w:jc w:val="center"/>
            </w:pPr>
            <w:r>
              <w:t xml:space="preserve">factor </w:t>
            </w:r>
          </w:p>
        </w:tc>
        <w:tc>
          <w:tcPr>
            <w:tcW w:w="1769" w:type="dxa"/>
            <w:tcBorders>
              <w:top w:val="single" w:sz="4" w:space="0" w:color="000000"/>
              <w:left w:val="single" w:sz="4" w:space="0" w:color="000000"/>
              <w:bottom w:val="single" w:sz="4" w:space="0" w:color="000000"/>
              <w:right w:val="single" w:sz="4" w:space="0" w:color="000000"/>
            </w:tcBorders>
          </w:tcPr>
          <w:p w14:paraId="36CACB20" w14:textId="77777777" w:rsidR="009C7506" w:rsidRDefault="009C7506">
            <w:pPr>
              <w:spacing w:after="160" w:line="259" w:lineRule="auto"/>
              <w:ind w:left="0" w:right="0" w:firstLine="0"/>
              <w:jc w:val="left"/>
            </w:pPr>
          </w:p>
        </w:tc>
        <w:tc>
          <w:tcPr>
            <w:tcW w:w="1884" w:type="dxa"/>
            <w:tcBorders>
              <w:top w:val="single" w:sz="4" w:space="0" w:color="000000"/>
              <w:left w:val="single" w:sz="4" w:space="0" w:color="000000"/>
              <w:bottom w:val="single" w:sz="4" w:space="0" w:color="000000"/>
              <w:right w:val="single" w:sz="4" w:space="0" w:color="000000"/>
            </w:tcBorders>
          </w:tcPr>
          <w:p w14:paraId="1CDF4E96" w14:textId="77777777" w:rsidR="009C7506" w:rsidRDefault="009C7506">
            <w:pPr>
              <w:spacing w:after="16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3DD6A0AA" w14:textId="77777777" w:rsidR="009C7506" w:rsidRDefault="009C7506">
            <w:pPr>
              <w:spacing w:after="16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6DDE813B" w14:textId="77777777" w:rsidR="009C7506" w:rsidRDefault="009C7506">
            <w:pPr>
              <w:spacing w:after="160" w:line="259" w:lineRule="auto"/>
              <w:ind w:left="0" w:right="0" w:firstLine="0"/>
              <w:jc w:val="left"/>
            </w:pPr>
          </w:p>
        </w:tc>
      </w:tr>
      <w:tr w:rsidR="009C7506" w14:paraId="3419705E" w14:textId="77777777">
        <w:trPr>
          <w:trHeight w:val="478"/>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770B8D1A" w14:textId="77777777" w:rsidR="009C7506" w:rsidRDefault="008B3AB3">
            <w:pPr>
              <w:spacing w:after="0" w:line="259" w:lineRule="auto"/>
              <w:ind w:left="0" w:right="0" w:firstLine="0"/>
              <w:jc w:val="center"/>
            </w:pPr>
            <w:r>
              <w:t xml:space="preserve">Liquidity capacity </w:t>
            </w:r>
          </w:p>
        </w:tc>
        <w:tc>
          <w:tcPr>
            <w:tcW w:w="1769" w:type="dxa"/>
            <w:tcBorders>
              <w:top w:val="single" w:sz="4" w:space="0" w:color="000000"/>
              <w:left w:val="single" w:sz="4" w:space="0" w:color="000000"/>
              <w:bottom w:val="single" w:sz="4" w:space="0" w:color="000000"/>
              <w:right w:val="single" w:sz="4" w:space="0" w:color="000000"/>
            </w:tcBorders>
            <w:vAlign w:val="center"/>
          </w:tcPr>
          <w:p w14:paraId="11310A7F" w14:textId="77777777" w:rsidR="009C7506" w:rsidRDefault="008B3AB3">
            <w:pPr>
              <w:spacing w:after="0" w:line="259" w:lineRule="auto"/>
              <w:ind w:left="0" w:right="53" w:firstLine="0"/>
              <w:jc w:val="center"/>
            </w:pPr>
            <w:r>
              <w:t xml:space="preserve">0.192 </w:t>
            </w:r>
          </w:p>
        </w:tc>
        <w:tc>
          <w:tcPr>
            <w:tcW w:w="1884" w:type="dxa"/>
            <w:tcBorders>
              <w:top w:val="single" w:sz="4" w:space="0" w:color="000000"/>
              <w:left w:val="single" w:sz="4" w:space="0" w:color="000000"/>
              <w:bottom w:val="single" w:sz="4" w:space="0" w:color="000000"/>
              <w:right w:val="single" w:sz="4" w:space="0" w:color="000000"/>
            </w:tcBorders>
            <w:vAlign w:val="center"/>
          </w:tcPr>
          <w:p w14:paraId="216C5AEB" w14:textId="77777777" w:rsidR="009C7506" w:rsidRDefault="008B3AB3">
            <w:pPr>
              <w:spacing w:after="0" w:line="259" w:lineRule="auto"/>
              <w:ind w:left="0" w:right="57" w:firstLine="0"/>
              <w:jc w:val="center"/>
            </w:pPr>
            <w:r>
              <w:t xml:space="preserve">-0.0981 </w:t>
            </w:r>
          </w:p>
        </w:tc>
        <w:tc>
          <w:tcPr>
            <w:tcW w:w="1654" w:type="dxa"/>
            <w:tcBorders>
              <w:top w:val="single" w:sz="4" w:space="0" w:color="000000"/>
              <w:left w:val="single" w:sz="4" w:space="0" w:color="000000"/>
              <w:bottom w:val="single" w:sz="4" w:space="0" w:color="000000"/>
              <w:right w:val="single" w:sz="4" w:space="0" w:color="000000"/>
            </w:tcBorders>
            <w:vAlign w:val="center"/>
          </w:tcPr>
          <w:p w14:paraId="54E8A65D" w14:textId="77777777" w:rsidR="009C7506" w:rsidRDefault="008B3AB3">
            <w:pPr>
              <w:spacing w:after="0" w:line="259" w:lineRule="auto"/>
              <w:ind w:left="0" w:right="57" w:firstLine="0"/>
              <w:jc w:val="center"/>
            </w:pPr>
            <w:r>
              <w:t xml:space="preserve">-0.0669 </w:t>
            </w:r>
          </w:p>
        </w:tc>
        <w:tc>
          <w:tcPr>
            <w:tcW w:w="1654" w:type="dxa"/>
            <w:tcBorders>
              <w:top w:val="single" w:sz="4" w:space="0" w:color="000000"/>
              <w:left w:val="single" w:sz="4" w:space="0" w:color="000000"/>
              <w:bottom w:val="single" w:sz="4" w:space="0" w:color="000000"/>
              <w:right w:val="single" w:sz="4" w:space="0" w:color="000000"/>
            </w:tcBorders>
            <w:vAlign w:val="center"/>
          </w:tcPr>
          <w:p w14:paraId="7C431213" w14:textId="77777777" w:rsidR="009C7506" w:rsidRDefault="008B3AB3">
            <w:pPr>
              <w:spacing w:after="0" w:line="259" w:lineRule="auto"/>
              <w:ind w:left="0" w:firstLine="0"/>
              <w:jc w:val="center"/>
            </w:pPr>
            <w:r>
              <w:t xml:space="preserve">0.396 </w:t>
            </w:r>
          </w:p>
        </w:tc>
      </w:tr>
      <w:tr w:rsidR="009C7506" w14:paraId="7D33814B" w14:textId="77777777">
        <w:trPr>
          <w:trHeight w:val="478"/>
        </w:trPr>
        <w:tc>
          <w:tcPr>
            <w:tcW w:w="0" w:type="auto"/>
            <w:vMerge/>
            <w:tcBorders>
              <w:top w:val="nil"/>
              <w:left w:val="single" w:sz="4" w:space="0" w:color="000000"/>
              <w:bottom w:val="single" w:sz="4" w:space="0" w:color="000000"/>
              <w:right w:val="single" w:sz="4" w:space="0" w:color="000000"/>
            </w:tcBorders>
          </w:tcPr>
          <w:p w14:paraId="4EF89D97"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32C282B9" w14:textId="77777777" w:rsidR="009C7506" w:rsidRDefault="008B3AB3">
            <w:pPr>
              <w:spacing w:after="0" w:line="259" w:lineRule="auto"/>
              <w:ind w:left="0" w:right="52" w:firstLine="0"/>
              <w:jc w:val="center"/>
            </w:pPr>
            <w:r>
              <w:t xml:space="preserve">(0.48) </w:t>
            </w:r>
          </w:p>
        </w:tc>
        <w:tc>
          <w:tcPr>
            <w:tcW w:w="1884" w:type="dxa"/>
            <w:tcBorders>
              <w:top w:val="single" w:sz="4" w:space="0" w:color="000000"/>
              <w:left w:val="single" w:sz="4" w:space="0" w:color="000000"/>
              <w:bottom w:val="single" w:sz="4" w:space="0" w:color="000000"/>
              <w:right w:val="single" w:sz="4" w:space="0" w:color="000000"/>
            </w:tcBorders>
            <w:vAlign w:val="center"/>
          </w:tcPr>
          <w:p w14:paraId="6B1DB704" w14:textId="77777777" w:rsidR="009C7506" w:rsidRDefault="008B3AB3">
            <w:pPr>
              <w:spacing w:after="0" w:line="259" w:lineRule="auto"/>
              <w:ind w:left="0" w:right="58" w:firstLine="0"/>
              <w:jc w:val="center"/>
            </w:pPr>
            <w:r>
              <w:t xml:space="preserve">(-0.27) </w:t>
            </w:r>
          </w:p>
        </w:tc>
        <w:tc>
          <w:tcPr>
            <w:tcW w:w="1654" w:type="dxa"/>
            <w:tcBorders>
              <w:top w:val="single" w:sz="4" w:space="0" w:color="000000"/>
              <w:left w:val="single" w:sz="4" w:space="0" w:color="000000"/>
              <w:bottom w:val="single" w:sz="4" w:space="0" w:color="000000"/>
              <w:right w:val="single" w:sz="4" w:space="0" w:color="000000"/>
            </w:tcBorders>
            <w:vAlign w:val="center"/>
          </w:tcPr>
          <w:p w14:paraId="6E02FD0D" w14:textId="77777777" w:rsidR="009C7506" w:rsidRDefault="008B3AB3">
            <w:pPr>
              <w:spacing w:after="0" w:line="259" w:lineRule="auto"/>
              <w:ind w:left="0" w:right="58" w:firstLine="0"/>
              <w:jc w:val="center"/>
            </w:pPr>
            <w:r>
              <w:t xml:space="preserve">(-0.11) </w:t>
            </w:r>
          </w:p>
        </w:tc>
        <w:tc>
          <w:tcPr>
            <w:tcW w:w="1654" w:type="dxa"/>
            <w:tcBorders>
              <w:top w:val="single" w:sz="4" w:space="0" w:color="000000"/>
              <w:left w:val="single" w:sz="4" w:space="0" w:color="000000"/>
              <w:bottom w:val="single" w:sz="4" w:space="0" w:color="000000"/>
              <w:right w:val="single" w:sz="4" w:space="0" w:color="000000"/>
            </w:tcBorders>
            <w:vAlign w:val="center"/>
          </w:tcPr>
          <w:p w14:paraId="03B2CB72" w14:textId="77777777" w:rsidR="009C7506" w:rsidRDefault="008B3AB3">
            <w:pPr>
              <w:spacing w:after="0" w:line="259" w:lineRule="auto"/>
              <w:ind w:left="0" w:right="53" w:firstLine="0"/>
              <w:jc w:val="center"/>
            </w:pPr>
            <w:r>
              <w:t xml:space="preserve">(0.67) </w:t>
            </w:r>
          </w:p>
        </w:tc>
      </w:tr>
      <w:tr w:rsidR="009C7506" w14:paraId="4BD82EA8" w14:textId="77777777">
        <w:trPr>
          <w:trHeight w:val="48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3BF412E2" w14:textId="77777777" w:rsidR="009C7506" w:rsidRDefault="008B3AB3">
            <w:pPr>
              <w:spacing w:after="0" w:line="259" w:lineRule="auto"/>
              <w:ind w:left="0" w:right="52" w:firstLine="0"/>
              <w:jc w:val="center"/>
            </w:pPr>
            <w:r>
              <w:t xml:space="preserve">Profitability </w:t>
            </w:r>
          </w:p>
        </w:tc>
        <w:tc>
          <w:tcPr>
            <w:tcW w:w="1769" w:type="dxa"/>
            <w:tcBorders>
              <w:top w:val="single" w:sz="4" w:space="0" w:color="000000"/>
              <w:left w:val="single" w:sz="4" w:space="0" w:color="000000"/>
              <w:bottom w:val="single" w:sz="4" w:space="0" w:color="000000"/>
              <w:right w:val="single" w:sz="4" w:space="0" w:color="000000"/>
            </w:tcBorders>
            <w:vAlign w:val="center"/>
          </w:tcPr>
          <w:p w14:paraId="1D852CAA" w14:textId="77777777" w:rsidR="009C7506" w:rsidRDefault="008B3AB3">
            <w:pPr>
              <w:spacing w:after="0" w:line="259" w:lineRule="auto"/>
              <w:ind w:left="0" w:right="56" w:firstLine="0"/>
              <w:jc w:val="center"/>
            </w:pPr>
            <w:r>
              <w:t xml:space="preserve">-3.656 </w:t>
            </w:r>
          </w:p>
        </w:tc>
        <w:tc>
          <w:tcPr>
            <w:tcW w:w="1884" w:type="dxa"/>
            <w:tcBorders>
              <w:top w:val="single" w:sz="4" w:space="0" w:color="000000"/>
              <w:left w:val="single" w:sz="4" w:space="0" w:color="000000"/>
              <w:bottom w:val="single" w:sz="4" w:space="0" w:color="000000"/>
              <w:right w:val="single" w:sz="4" w:space="0" w:color="000000"/>
            </w:tcBorders>
            <w:vAlign w:val="center"/>
          </w:tcPr>
          <w:p w14:paraId="190F30F4" w14:textId="77777777" w:rsidR="009C7506" w:rsidRDefault="008B3AB3">
            <w:pPr>
              <w:spacing w:after="0" w:line="259" w:lineRule="auto"/>
              <w:ind w:left="0" w:right="57" w:firstLine="0"/>
              <w:jc w:val="center"/>
            </w:pPr>
            <w:r>
              <w:t xml:space="preserve">-0.145 </w:t>
            </w:r>
          </w:p>
        </w:tc>
        <w:tc>
          <w:tcPr>
            <w:tcW w:w="1654" w:type="dxa"/>
            <w:tcBorders>
              <w:top w:val="single" w:sz="4" w:space="0" w:color="000000"/>
              <w:left w:val="single" w:sz="4" w:space="0" w:color="000000"/>
              <w:bottom w:val="single" w:sz="4" w:space="0" w:color="000000"/>
              <w:right w:val="single" w:sz="4" w:space="0" w:color="000000"/>
            </w:tcBorders>
            <w:vAlign w:val="center"/>
          </w:tcPr>
          <w:p w14:paraId="76D5C725" w14:textId="77777777" w:rsidR="009C7506" w:rsidRDefault="008B3AB3">
            <w:pPr>
              <w:spacing w:after="0" w:line="259" w:lineRule="auto"/>
              <w:ind w:left="0" w:right="57" w:firstLine="0"/>
              <w:jc w:val="center"/>
            </w:pPr>
            <w:r>
              <w:t xml:space="preserve">-4.570 </w:t>
            </w:r>
          </w:p>
        </w:tc>
        <w:tc>
          <w:tcPr>
            <w:tcW w:w="1654" w:type="dxa"/>
            <w:tcBorders>
              <w:top w:val="single" w:sz="4" w:space="0" w:color="000000"/>
              <w:left w:val="single" w:sz="4" w:space="0" w:color="000000"/>
              <w:bottom w:val="single" w:sz="4" w:space="0" w:color="000000"/>
              <w:right w:val="single" w:sz="4" w:space="0" w:color="000000"/>
            </w:tcBorders>
            <w:vAlign w:val="center"/>
          </w:tcPr>
          <w:p w14:paraId="0245D3BA" w14:textId="77777777" w:rsidR="009C7506" w:rsidRDefault="008B3AB3">
            <w:pPr>
              <w:spacing w:after="0" w:line="259" w:lineRule="auto"/>
              <w:ind w:left="0" w:right="56" w:firstLine="0"/>
              <w:jc w:val="center"/>
            </w:pPr>
            <w:r>
              <w:t xml:space="preserve">-5.801 </w:t>
            </w:r>
          </w:p>
        </w:tc>
      </w:tr>
      <w:tr w:rsidR="009C7506" w14:paraId="59E6A238" w14:textId="77777777">
        <w:trPr>
          <w:trHeight w:val="478"/>
        </w:trPr>
        <w:tc>
          <w:tcPr>
            <w:tcW w:w="0" w:type="auto"/>
            <w:vMerge/>
            <w:tcBorders>
              <w:top w:val="nil"/>
              <w:left w:val="single" w:sz="4" w:space="0" w:color="000000"/>
              <w:bottom w:val="single" w:sz="4" w:space="0" w:color="000000"/>
              <w:right w:val="single" w:sz="4" w:space="0" w:color="000000"/>
            </w:tcBorders>
          </w:tcPr>
          <w:p w14:paraId="3F82C3B1"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169A33EC" w14:textId="77777777" w:rsidR="009C7506" w:rsidRDefault="008B3AB3">
            <w:pPr>
              <w:spacing w:after="0" w:line="259" w:lineRule="auto"/>
              <w:ind w:left="0" w:right="57" w:firstLine="0"/>
              <w:jc w:val="center"/>
            </w:pPr>
            <w:r>
              <w:t xml:space="preserve">(-1.29) </w:t>
            </w:r>
          </w:p>
        </w:tc>
        <w:tc>
          <w:tcPr>
            <w:tcW w:w="1884" w:type="dxa"/>
            <w:tcBorders>
              <w:top w:val="single" w:sz="4" w:space="0" w:color="000000"/>
              <w:left w:val="single" w:sz="4" w:space="0" w:color="000000"/>
              <w:bottom w:val="single" w:sz="4" w:space="0" w:color="000000"/>
              <w:right w:val="single" w:sz="4" w:space="0" w:color="000000"/>
            </w:tcBorders>
            <w:vAlign w:val="center"/>
          </w:tcPr>
          <w:p w14:paraId="34C69750" w14:textId="77777777" w:rsidR="009C7506" w:rsidRDefault="008B3AB3">
            <w:pPr>
              <w:spacing w:after="0" w:line="259" w:lineRule="auto"/>
              <w:ind w:left="0" w:right="58" w:firstLine="0"/>
              <w:jc w:val="center"/>
            </w:pPr>
            <w:r>
              <w:t xml:space="preserve">(-0.06) </w:t>
            </w:r>
          </w:p>
        </w:tc>
        <w:tc>
          <w:tcPr>
            <w:tcW w:w="1654" w:type="dxa"/>
            <w:tcBorders>
              <w:top w:val="single" w:sz="4" w:space="0" w:color="000000"/>
              <w:left w:val="single" w:sz="4" w:space="0" w:color="000000"/>
              <w:bottom w:val="single" w:sz="4" w:space="0" w:color="000000"/>
              <w:right w:val="single" w:sz="4" w:space="0" w:color="000000"/>
            </w:tcBorders>
            <w:vAlign w:val="center"/>
          </w:tcPr>
          <w:p w14:paraId="41A7A2D7" w14:textId="77777777" w:rsidR="009C7506" w:rsidRDefault="008B3AB3">
            <w:pPr>
              <w:spacing w:after="0" w:line="259" w:lineRule="auto"/>
              <w:ind w:left="0" w:right="58" w:firstLine="0"/>
              <w:jc w:val="center"/>
            </w:pPr>
            <w:r>
              <w:t xml:space="preserve">(-1.15) </w:t>
            </w:r>
          </w:p>
        </w:tc>
        <w:tc>
          <w:tcPr>
            <w:tcW w:w="1654" w:type="dxa"/>
            <w:tcBorders>
              <w:top w:val="single" w:sz="4" w:space="0" w:color="000000"/>
              <w:left w:val="single" w:sz="4" w:space="0" w:color="000000"/>
              <w:bottom w:val="single" w:sz="4" w:space="0" w:color="000000"/>
              <w:right w:val="single" w:sz="4" w:space="0" w:color="000000"/>
            </w:tcBorders>
            <w:vAlign w:val="center"/>
          </w:tcPr>
          <w:p w14:paraId="571EF695" w14:textId="77777777" w:rsidR="009C7506" w:rsidRDefault="008B3AB3">
            <w:pPr>
              <w:spacing w:after="0" w:line="259" w:lineRule="auto"/>
              <w:ind w:left="0" w:right="57" w:firstLine="0"/>
              <w:jc w:val="center"/>
            </w:pPr>
            <w:r>
              <w:t xml:space="preserve">(-1.52) </w:t>
            </w:r>
          </w:p>
        </w:tc>
      </w:tr>
      <w:tr w:rsidR="009C7506" w14:paraId="6E93C1BE" w14:textId="77777777">
        <w:trPr>
          <w:trHeight w:val="478"/>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7FEA345A" w14:textId="77777777" w:rsidR="009C7506" w:rsidRDefault="008B3AB3">
            <w:pPr>
              <w:spacing w:after="0" w:line="259" w:lineRule="auto"/>
              <w:ind w:left="0" w:right="0" w:firstLine="0"/>
              <w:jc w:val="center"/>
            </w:pPr>
            <w:r>
              <w:t xml:space="preserve">Operational factors </w:t>
            </w:r>
          </w:p>
        </w:tc>
        <w:tc>
          <w:tcPr>
            <w:tcW w:w="1769" w:type="dxa"/>
            <w:tcBorders>
              <w:top w:val="single" w:sz="4" w:space="0" w:color="000000"/>
              <w:left w:val="single" w:sz="4" w:space="0" w:color="000000"/>
              <w:bottom w:val="single" w:sz="4" w:space="0" w:color="000000"/>
              <w:right w:val="single" w:sz="4" w:space="0" w:color="000000"/>
            </w:tcBorders>
            <w:vAlign w:val="center"/>
          </w:tcPr>
          <w:p w14:paraId="56E7641E" w14:textId="77777777" w:rsidR="009C7506" w:rsidRDefault="008B3AB3">
            <w:pPr>
              <w:spacing w:after="0" w:line="259" w:lineRule="auto"/>
              <w:ind w:left="0" w:right="56" w:firstLine="0"/>
              <w:jc w:val="center"/>
            </w:pPr>
            <w:r>
              <w:t xml:space="preserve">-0.904 </w:t>
            </w:r>
          </w:p>
        </w:tc>
        <w:tc>
          <w:tcPr>
            <w:tcW w:w="1884" w:type="dxa"/>
            <w:tcBorders>
              <w:top w:val="single" w:sz="4" w:space="0" w:color="000000"/>
              <w:left w:val="single" w:sz="4" w:space="0" w:color="000000"/>
              <w:bottom w:val="single" w:sz="4" w:space="0" w:color="000000"/>
              <w:right w:val="single" w:sz="4" w:space="0" w:color="000000"/>
            </w:tcBorders>
            <w:vAlign w:val="center"/>
          </w:tcPr>
          <w:p w14:paraId="05F8C3D2" w14:textId="77777777" w:rsidR="009C7506" w:rsidRDefault="008B3AB3">
            <w:pPr>
              <w:spacing w:after="0" w:line="259" w:lineRule="auto"/>
              <w:ind w:left="0" w:right="57" w:firstLine="0"/>
              <w:jc w:val="center"/>
            </w:pPr>
            <w:r>
              <w:t xml:space="preserve">-0.926 </w:t>
            </w:r>
          </w:p>
        </w:tc>
        <w:tc>
          <w:tcPr>
            <w:tcW w:w="1654" w:type="dxa"/>
            <w:tcBorders>
              <w:top w:val="single" w:sz="4" w:space="0" w:color="000000"/>
              <w:left w:val="single" w:sz="4" w:space="0" w:color="000000"/>
              <w:bottom w:val="single" w:sz="4" w:space="0" w:color="000000"/>
              <w:right w:val="single" w:sz="4" w:space="0" w:color="000000"/>
            </w:tcBorders>
            <w:vAlign w:val="center"/>
          </w:tcPr>
          <w:p w14:paraId="337CF880" w14:textId="77777777" w:rsidR="009C7506" w:rsidRDefault="008B3AB3">
            <w:pPr>
              <w:spacing w:after="0" w:line="259" w:lineRule="auto"/>
              <w:ind w:left="0" w:right="57" w:firstLine="0"/>
              <w:jc w:val="center"/>
            </w:pPr>
            <w:r>
              <w:t xml:space="preserve">-1.810 </w:t>
            </w:r>
          </w:p>
        </w:tc>
        <w:tc>
          <w:tcPr>
            <w:tcW w:w="1654" w:type="dxa"/>
            <w:tcBorders>
              <w:top w:val="single" w:sz="4" w:space="0" w:color="000000"/>
              <w:left w:val="single" w:sz="4" w:space="0" w:color="000000"/>
              <w:bottom w:val="single" w:sz="4" w:space="0" w:color="000000"/>
              <w:right w:val="single" w:sz="4" w:space="0" w:color="000000"/>
            </w:tcBorders>
            <w:vAlign w:val="center"/>
          </w:tcPr>
          <w:p w14:paraId="5C561C97" w14:textId="77777777" w:rsidR="009C7506" w:rsidRDefault="008B3AB3">
            <w:pPr>
              <w:spacing w:after="0" w:line="259" w:lineRule="auto"/>
              <w:ind w:left="0" w:right="56" w:firstLine="0"/>
              <w:jc w:val="center"/>
            </w:pPr>
            <w:r>
              <w:t xml:space="preserve">-1.845 </w:t>
            </w:r>
          </w:p>
        </w:tc>
      </w:tr>
      <w:tr w:rsidR="009C7506" w14:paraId="790CBEC1" w14:textId="77777777">
        <w:trPr>
          <w:trHeight w:val="478"/>
        </w:trPr>
        <w:tc>
          <w:tcPr>
            <w:tcW w:w="0" w:type="auto"/>
            <w:vMerge/>
            <w:tcBorders>
              <w:top w:val="nil"/>
              <w:left w:val="single" w:sz="4" w:space="0" w:color="000000"/>
              <w:bottom w:val="single" w:sz="4" w:space="0" w:color="000000"/>
              <w:right w:val="single" w:sz="4" w:space="0" w:color="000000"/>
            </w:tcBorders>
          </w:tcPr>
          <w:p w14:paraId="357C7DA6"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03ED2B3D" w14:textId="77777777" w:rsidR="009C7506" w:rsidRDefault="008B3AB3">
            <w:pPr>
              <w:spacing w:after="0" w:line="259" w:lineRule="auto"/>
              <w:ind w:left="0" w:right="57" w:firstLine="0"/>
              <w:jc w:val="center"/>
            </w:pPr>
            <w:r>
              <w:t xml:space="preserve">(-1.27) </w:t>
            </w:r>
          </w:p>
        </w:tc>
        <w:tc>
          <w:tcPr>
            <w:tcW w:w="1884" w:type="dxa"/>
            <w:tcBorders>
              <w:top w:val="single" w:sz="4" w:space="0" w:color="000000"/>
              <w:left w:val="single" w:sz="4" w:space="0" w:color="000000"/>
              <w:bottom w:val="single" w:sz="4" w:space="0" w:color="000000"/>
              <w:right w:val="single" w:sz="4" w:space="0" w:color="000000"/>
            </w:tcBorders>
            <w:vAlign w:val="center"/>
          </w:tcPr>
          <w:p w14:paraId="3CA08626" w14:textId="77777777" w:rsidR="009C7506" w:rsidRDefault="008B3AB3">
            <w:pPr>
              <w:spacing w:after="0" w:line="259" w:lineRule="auto"/>
              <w:ind w:left="0" w:right="58" w:firstLine="0"/>
              <w:jc w:val="center"/>
            </w:pPr>
            <w:r>
              <w:t xml:space="preserve">(-1.42) </w:t>
            </w:r>
          </w:p>
        </w:tc>
        <w:tc>
          <w:tcPr>
            <w:tcW w:w="1654" w:type="dxa"/>
            <w:tcBorders>
              <w:top w:val="single" w:sz="4" w:space="0" w:color="000000"/>
              <w:left w:val="single" w:sz="4" w:space="0" w:color="000000"/>
              <w:bottom w:val="single" w:sz="4" w:space="0" w:color="000000"/>
              <w:right w:val="single" w:sz="4" w:space="0" w:color="000000"/>
            </w:tcBorders>
            <w:vAlign w:val="center"/>
          </w:tcPr>
          <w:p w14:paraId="7547221D" w14:textId="77777777" w:rsidR="009C7506" w:rsidRDefault="008B3AB3">
            <w:pPr>
              <w:spacing w:after="0" w:line="259" w:lineRule="auto"/>
              <w:ind w:left="0" w:right="58" w:firstLine="0"/>
              <w:jc w:val="center"/>
            </w:pPr>
            <w:r>
              <w:t xml:space="preserve">(-1.55) </w:t>
            </w:r>
          </w:p>
        </w:tc>
        <w:tc>
          <w:tcPr>
            <w:tcW w:w="1654" w:type="dxa"/>
            <w:tcBorders>
              <w:top w:val="single" w:sz="4" w:space="0" w:color="000000"/>
              <w:left w:val="single" w:sz="4" w:space="0" w:color="000000"/>
              <w:bottom w:val="single" w:sz="4" w:space="0" w:color="000000"/>
              <w:right w:val="single" w:sz="4" w:space="0" w:color="000000"/>
            </w:tcBorders>
            <w:vAlign w:val="center"/>
          </w:tcPr>
          <w:p w14:paraId="44F4A939" w14:textId="77777777" w:rsidR="009C7506" w:rsidRDefault="008B3AB3">
            <w:pPr>
              <w:spacing w:after="0" w:line="259" w:lineRule="auto"/>
              <w:ind w:left="0" w:right="57" w:firstLine="0"/>
              <w:jc w:val="center"/>
            </w:pPr>
            <w:r>
              <w:t xml:space="preserve">(-1.68) </w:t>
            </w:r>
          </w:p>
        </w:tc>
      </w:tr>
      <w:tr w:rsidR="009C7506" w14:paraId="7C725F9D" w14:textId="77777777">
        <w:trPr>
          <w:trHeight w:val="478"/>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78FEE427" w14:textId="77777777" w:rsidR="009C7506" w:rsidRDefault="008B3AB3">
            <w:pPr>
              <w:spacing w:after="0" w:line="259" w:lineRule="auto"/>
              <w:ind w:left="0" w:right="56" w:firstLine="0"/>
              <w:jc w:val="center"/>
            </w:pPr>
            <w:r>
              <w:rPr>
                <w:i/>
              </w:rPr>
              <w:t>GDP</w:t>
            </w:r>
            <w: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658397B0" w14:textId="77777777" w:rsidR="009C7506" w:rsidRDefault="008B3AB3">
            <w:pPr>
              <w:spacing w:after="0" w:line="259" w:lineRule="auto"/>
              <w:ind w:left="0" w:right="1" w:firstLine="0"/>
              <w:jc w:val="center"/>
            </w:pPr>
            <w: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045F2DF5" w14:textId="77777777" w:rsidR="009C7506" w:rsidRDefault="008B3AB3">
            <w:pPr>
              <w:spacing w:after="0" w:line="259" w:lineRule="auto"/>
              <w:ind w:left="0" w:right="1" w:firstLine="0"/>
              <w:jc w:val="center"/>
            </w:pPr>
            <w: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5272BC83" w14:textId="77777777" w:rsidR="009C7506" w:rsidRDefault="008B3AB3">
            <w:pPr>
              <w:spacing w:after="0" w:line="259" w:lineRule="auto"/>
              <w:ind w:left="0" w:right="59" w:firstLine="0"/>
              <w:jc w:val="center"/>
            </w:pPr>
            <w:r>
              <w:t xml:space="preserve">-1.08e-09 </w:t>
            </w:r>
          </w:p>
        </w:tc>
        <w:tc>
          <w:tcPr>
            <w:tcW w:w="1654" w:type="dxa"/>
            <w:tcBorders>
              <w:top w:val="single" w:sz="4" w:space="0" w:color="000000"/>
              <w:left w:val="single" w:sz="4" w:space="0" w:color="000000"/>
              <w:bottom w:val="single" w:sz="4" w:space="0" w:color="000000"/>
              <w:right w:val="single" w:sz="4" w:space="0" w:color="000000"/>
            </w:tcBorders>
            <w:vAlign w:val="center"/>
          </w:tcPr>
          <w:p w14:paraId="16B6C363" w14:textId="77777777" w:rsidR="009C7506" w:rsidRDefault="008B3AB3">
            <w:pPr>
              <w:spacing w:after="0" w:line="259" w:lineRule="auto"/>
              <w:ind w:left="0" w:right="59" w:firstLine="0"/>
              <w:jc w:val="center"/>
            </w:pPr>
            <w:r>
              <w:t xml:space="preserve">-6.70e-10 </w:t>
            </w:r>
          </w:p>
        </w:tc>
      </w:tr>
      <w:tr w:rsidR="009C7506" w14:paraId="24CBD8F4" w14:textId="77777777">
        <w:trPr>
          <w:trHeight w:val="478"/>
        </w:trPr>
        <w:tc>
          <w:tcPr>
            <w:tcW w:w="0" w:type="auto"/>
            <w:vMerge/>
            <w:tcBorders>
              <w:top w:val="nil"/>
              <w:left w:val="single" w:sz="4" w:space="0" w:color="000000"/>
              <w:bottom w:val="single" w:sz="4" w:space="0" w:color="000000"/>
              <w:right w:val="single" w:sz="4" w:space="0" w:color="000000"/>
            </w:tcBorders>
          </w:tcPr>
          <w:p w14:paraId="4ACB0225"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691E25DF" w14:textId="77777777" w:rsidR="009C7506" w:rsidRDefault="008B3AB3">
            <w:pPr>
              <w:spacing w:after="0" w:line="259" w:lineRule="auto"/>
              <w:ind w:left="0" w:right="1" w:firstLine="0"/>
              <w:jc w:val="center"/>
            </w:pPr>
            <w: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449FD373" w14:textId="77777777" w:rsidR="009C7506" w:rsidRDefault="008B3AB3">
            <w:pPr>
              <w:spacing w:after="0" w:line="259" w:lineRule="auto"/>
              <w:ind w:left="0" w:right="1" w:firstLine="0"/>
              <w:jc w:val="center"/>
            </w:pPr>
            <w: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427FAAC9" w14:textId="77777777" w:rsidR="009C7506" w:rsidRDefault="008B3AB3">
            <w:pPr>
              <w:spacing w:after="0" w:line="259" w:lineRule="auto"/>
              <w:ind w:left="0" w:right="58" w:firstLine="0"/>
              <w:jc w:val="center"/>
            </w:pPr>
            <w:r>
              <w:t xml:space="preserve">(-1.00) </w:t>
            </w:r>
          </w:p>
        </w:tc>
        <w:tc>
          <w:tcPr>
            <w:tcW w:w="1654" w:type="dxa"/>
            <w:tcBorders>
              <w:top w:val="single" w:sz="4" w:space="0" w:color="000000"/>
              <w:left w:val="single" w:sz="4" w:space="0" w:color="000000"/>
              <w:bottom w:val="single" w:sz="4" w:space="0" w:color="000000"/>
              <w:right w:val="single" w:sz="4" w:space="0" w:color="000000"/>
            </w:tcBorders>
            <w:vAlign w:val="center"/>
          </w:tcPr>
          <w:p w14:paraId="36C7A9DA" w14:textId="77777777" w:rsidR="009C7506" w:rsidRDefault="008B3AB3">
            <w:pPr>
              <w:spacing w:after="0" w:line="259" w:lineRule="auto"/>
              <w:ind w:left="0" w:right="57" w:firstLine="0"/>
              <w:jc w:val="center"/>
            </w:pPr>
            <w:r>
              <w:t xml:space="preserve">(-0.67) </w:t>
            </w:r>
          </w:p>
        </w:tc>
      </w:tr>
      <w:tr w:rsidR="009C7506" w14:paraId="16161010" w14:textId="77777777">
        <w:trPr>
          <w:trHeight w:val="480"/>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3B4ECA6E" w14:textId="77777777" w:rsidR="009C7506" w:rsidRDefault="008B3AB3">
            <w:pPr>
              <w:spacing w:after="0" w:line="259" w:lineRule="auto"/>
              <w:ind w:left="0" w:right="55" w:firstLine="0"/>
              <w:jc w:val="center"/>
            </w:pPr>
            <w:r>
              <w:rPr>
                <w:i/>
              </w:rPr>
              <w:t>LTD</w:t>
            </w:r>
            <w: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58B8A3DE" w14:textId="77777777" w:rsidR="009C7506" w:rsidRDefault="008B3AB3">
            <w:pPr>
              <w:spacing w:after="0" w:line="259" w:lineRule="auto"/>
              <w:ind w:left="0" w:right="1" w:firstLine="0"/>
              <w:jc w:val="center"/>
            </w:pPr>
            <w: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3E73678C" w14:textId="77777777" w:rsidR="009C7506" w:rsidRDefault="008B3AB3">
            <w:pPr>
              <w:spacing w:after="0" w:line="259" w:lineRule="auto"/>
              <w:ind w:left="0" w:right="1" w:firstLine="0"/>
              <w:jc w:val="center"/>
            </w:pPr>
            <w: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6C582EE9" w14:textId="77777777" w:rsidR="009C7506" w:rsidRDefault="008B3AB3">
            <w:pPr>
              <w:spacing w:after="0" w:line="259" w:lineRule="auto"/>
              <w:ind w:left="0" w:right="57" w:firstLine="0"/>
              <w:jc w:val="center"/>
            </w:pPr>
            <w:r>
              <w:t xml:space="preserve">-0.00303 </w:t>
            </w:r>
          </w:p>
        </w:tc>
        <w:tc>
          <w:tcPr>
            <w:tcW w:w="1654" w:type="dxa"/>
            <w:tcBorders>
              <w:top w:val="single" w:sz="4" w:space="0" w:color="000000"/>
              <w:left w:val="single" w:sz="4" w:space="0" w:color="000000"/>
              <w:bottom w:val="single" w:sz="4" w:space="0" w:color="000000"/>
              <w:right w:val="single" w:sz="4" w:space="0" w:color="000000"/>
            </w:tcBorders>
            <w:vAlign w:val="center"/>
          </w:tcPr>
          <w:p w14:paraId="0E0CA4AC" w14:textId="77777777" w:rsidR="009C7506" w:rsidRDefault="008B3AB3">
            <w:pPr>
              <w:spacing w:after="0" w:line="259" w:lineRule="auto"/>
              <w:ind w:left="0" w:firstLine="0"/>
              <w:jc w:val="center"/>
            </w:pPr>
            <w:r>
              <w:t xml:space="preserve">0.00704 </w:t>
            </w:r>
          </w:p>
        </w:tc>
      </w:tr>
      <w:tr w:rsidR="009C7506" w14:paraId="7E654997" w14:textId="77777777">
        <w:trPr>
          <w:trHeight w:val="478"/>
        </w:trPr>
        <w:tc>
          <w:tcPr>
            <w:tcW w:w="0" w:type="auto"/>
            <w:vMerge/>
            <w:tcBorders>
              <w:top w:val="nil"/>
              <w:left w:val="single" w:sz="4" w:space="0" w:color="000000"/>
              <w:bottom w:val="single" w:sz="4" w:space="0" w:color="000000"/>
              <w:right w:val="single" w:sz="4" w:space="0" w:color="000000"/>
            </w:tcBorders>
          </w:tcPr>
          <w:p w14:paraId="6772E46A"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3DB1B5F6" w14:textId="77777777" w:rsidR="009C7506" w:rsidRDefault="008B3AB3">
            <w:pPr>
              <w:spacing w:after="0" w:line="259" w:lineRule="auto"/>
              <w:ind w:left="0" w:right="1" w:firstLine="0"/>
              <w:jc w:val="center"/>
            </w:pPr>
            <w: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659E7715" w14:textId="77777777" w:rsidR="009C7506" w:rsidRDefault="008B3AB3">
            <w:pPr>
              <w:spacing w:after="0" w:line="259" w:lineRule="auto"/>
              <w:ind w:left="0" w:right="1" w:firstLine="0"/>
              <w:jc w:val="center"/>
            </w:pPr>
            <w: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0B4B3CDF" w14:textId="77777777" w:rsidR="009C7506" w:rsidRDefault="008B3AB3">
            <w:pPr>
              <w:spacing w:after="0" w:line="259" w:lineRule="auto"/>
              <w:ind w:left="0" w:right="58" w:firstLine="0"/>
              <w:jc w:val="center"/>
            </w:pPr>
            <w:r>
              <w:t xml:space="preserve">(-0.69) </w:t>
            </w:r>
          </w:p>
        </w:tc>
        <w:tc>
          <w:tcPr>
            <w:tcW w:w="1654" w:type="dxa"/>
            <w:tcBorders>
              <w:top w:val="single" w:sz="4" w:space="0" w:color="000000"/>
              <w:left w:val="single" w:sz="4" w:space="0" w:color="000000"/>
              <w:bottom w:val="single" w:sz="4" w:space="0" w:color="000000"/>
              <w:right w:val="single" w:sz="4" w:space="0" w:color="000000"/>
            </w:tcBorders>
            <w:vAlign w:val="center"/>
          </w:tcPr>
          <w:p w14:paraId="606ADB20" w14:textId="77777777" w:rsidR="009C7506" w:rsidRDefault="008B3AB3">
            <w:pPr>
              <w:spacing w:after="0" w:line="259" w:lineRule="auto"/>
              <w:ind w:left="0" w:right="53" w:firstLine="0"/>
              <w:jc w:val="center"/>
            </w:pPr>
            <w:r>
              <w:t xml:space="preserve">(1.73) </w:t>
            </w:r>
          </w:p>
        </w:tc>
      </w:tr>
      <w:tr w:rsidR="009C7506" w14:paraId="6D32B07B" w14:textId="77777777">
        <w:trPr>
          <w:trHeight w:val="2350"/>
        </w:trPr>
        <w:tc>
          <w:tcPr>
            <w:tcW w:w="1562" w:type="dxa"/>
            <w:tcBorders>
              <w:top w:val="single" w:sz="4" w:space="0" w:color="000000"/>
              <w:left w:val="single" w:sz="4" w:space="0" w:color="000000"/>
              <w:bottom w:val="single" w:sz="4" w:space="0" w:color="000000"/>
              <w:right w:val="single" w:sz="4" w:space="0" w:color="000000"/>
            </w:tcBorders>
            <w:vAlign w:val="center"/>
          </w:tcPr>
          <w:p w14:paraId="0EC52670" w14:textId="77777777" w:rsidR="009C7506" w:rsidRDefault="008B3AB3">
            <w:pPr>
              <w:spacing w:after="192" w:line="259" w:lineRule="auto"/>
              <w:ind w:left="17" w:right="0" w:firstLine="0"/>
              <w:jc w:val="left"/>
            </w:pPr>
            <w:r>
              <w:t xml:space="preserve">Fixed effect of </w:t>
            </w:r>
          </w:p>
          <w:p w14:paraId="3C603E7A" w14:textId="77777777" w:rsidR="009C7506" w:rsidRDefault="008B3AB3">
            <w:pPr>
              <w:spacing w:after="0" w:line="259" w:lineRule="auto"/>
              <w:ind w:left="0" w:right="0" w:firstLine="0"/>
              <w:jc w:val="center"/>
            </w:pPr>
            <w:r>
              <w:t xml:space="preserve">Province - industry - rating agencies and year  </w:t>
            </w:r>
          </w:p>
        </w:tc>
        <w:tc>
          <w:tcPr>
            <w:tcW w:w="1769" w:type="dxa"/>
            <w:tcBorders>
              <w:top w:val="single" w:sz="4" w:space="0" w:color="000000"/>
              <w:left w:val="single" w:sz="4" w:space="0" w:color="000000"/>
              <w:bottom w:val="single" w:sz="4" w:space="0" w:color="000000"/>
              <w:right w:val="single" w:sz="4" w:space="0" w:color="000000"/>
            </w:tcBorders>
            <w:vAlign w:val="center"/>
          </w:tcPr>
          <w:p w14:paraId="5349931B" w14:textId="77777777" w:rsidR="009C7506" w:rsidRDefault="008B3AB3">
            <w:pPr>
              <w:spacing w:after="0" w:line="259" w:lineRule="auto"/>
              <w:ind w:left="0" w:firstLine="0"/>
              <w:jc w:val="center"/>
            </w:pPr>
            <w:r>
              <w:t xml:space="preserve">Controlled </w:t>
            </w:r>
          </w:p>
        </w:tc>
        <w:tc>
          <w:tcPr>
            <w:tcW w:w="1884" w:type="dxa"/>
            <w:tcBorders>
              <w:top w:val="single" w:sz="4" w:space="0" w:color="000000"/>
              <w:left w:val="single" w:sz="4" w:space="0" w:color="000000"/>
              <w:bottom w:val="single" w:sz="4" w:space="0" w:color="000000"/>
              <w:right w:val="single" w:sz="4" w:space="0" w:color="000000"/>
            </w:tcBorders>
            <w:vAlign w:val="center"/>
          </w:tcPr>
          <w:p w14:paraId="489D42E8" w14:textId="77777777" w:rsidR="009C7506" w:rsidRDefault="008B3AB3">
            <w:pPr>
              <w:spacing w:after="0" w:line="259" w:lineRule="auto"/>
              <w:ind w:left="0" w:firstLine="0"/>
              <w:jc w:val="center"/>
            </w:pPr>
            <w:r>
              <w:t xml:space="preserve">Controlled </w:t>
            </w:r>
          </w:p>
        </w:tc>
        <w:tc>
          <w:tcPr>
            <w:tcW w:w="1654" w:type="dxa"/>
            <w:tcBorders>
              <w:top w:val="single" w:sz="4" w:space="0" w:color="000000"/>
              <w:left w:val="single" w:sz="4" w:space="0" w:color="000000"/>
              <w:bottom w:val="single" w:sz="4" w:space="0" w:color="000000"/>
              <w:right w:val="single" w:sz="4" w:space="0" w:color="000000"/>
            </w:tcBorders>
            <w:vAlign w:val="center"/>
          </w:tcPr>
          <w:p w14:paraId="541C9ECA" w14:textId="77777777" w:rsidR="009C7506" w:rsidRDefault="008B3AB3">
            <w:pPr>
              <w:spacing w:after="0" w:line="259" w:lineRule="auto"/>
              <w:ind w:left="0" w:right="55" w:firstLine="0"/>
              <w:jc w:val="center"/>
            </w:pPr>
            <w:r>
              <w:t xml:space="preserve">Controlled </w:t>
            </w:r>
          </w:p>
        </w:tc>
        <w:tc>
          <w:tcPr>
            <w:tcW w:w="1654" w:type="dxa"/>
            <w:tcBorders>
              <w:top w:val="single" w:sz="4" w:space="0" w:color="000000"/>
              <w:left w:val="single" w:sz="4" w:space="0" w:color="000000"/>
              <w:bottom w:val="single" w:sz="4" w:space="0" w:color="000000"/>
              <w:right w:val="single" w:sz="4" w:space="0" w:color="000000"/>
            </w:tcBorders>
            <w:vAlign w:val="center"/>
          </w:tcPr>
          <w:p w14:paraId="6904836C" w14:textId="77777777" w:rsidR="009C7506" w:rsidRDefault="008B3AB3">
            <w:pPr>
              <w:spacing w:after="0" w:line="259" w:lineRule="auto"/>
              <w:ind w:left="0" w:firstLine="0"/>
              <w:jc w:val="center"/>
            </w:pPr>
            <w:r>
              <w:t xml:space="preserve">Controlled </w:t>
            </w:r>
          </w:p>
        </w:tc>
      </w:tr>
      <w:tr w:rsidR="009C7506" w14:paraId="1714534D" w14:textId="77777777">
        <w:trPr>
          <w:trHeight w:val="478"/>
        </w:trPr>
        <w:tc>
          <w:tcPr>
            <w:tcW w:w="1562" w:type="dxa"/>
            <w:vMerge w:val="restart"/>
            <w:tcBorders>
              <w:top w:val="single" w:sz="4" w:space="0" w:color="000000"/>
              <w:left w:val="single" w:sz="4" w:space="0" w:color="000000"/>
              <w:bottom w:val="single" w:sz="4" w:space="0" w:color="000000"/>
              <w:right w:val="single" w:sz="4" w:space="0" w:color="000000"/>
            </w:tcBorders>
            <w:vAlign w:val="center"/>
          </w:tcPr>
          <w:p w14:paraId="4CA94E40" w14:textId="77777777" w:rsidR="009C7506" w:rsidRDefault="008B3AB3">
            <w:pPr>
              <w:spacing w:after="0" w:line="259" w:lineRule="auto"/>
              <w:ind w:left="0" w:right="55" w:firstLine="0"/>
              <w:jc w:val="center"/>
            </w:pPr>
            <w:r>
              <w:t xml:space="preserve">Constant </w:t>
            </w:r>
          </w:p>
        </w:tc>
        <w:tc>
          <w:tcPr>
            <w:tcW w:w="1769" w:type="dxa"/>
            <w:tcBorders>
              <w:top w:val="single" w:sz="4" w:space="0" w:color="000000"/>
              <w:left w:val="single" w:sz="4" w:space="0" w:color="000000"/>
              <w:bottom w:val="single" w:sz="4" w:space="0" w:color="000000"/>
              <w:right w:val="single" w:sz="4" w:space="0" w:color="000000"/>
            </w:tcBorders>
            <w:vAlign w:val="center"/>
          </w:tcPr>
          <w:p w14:paraId="162BD8ED" w14:textId="77777777" w:rsidR="009C7506" w:rsidRDefault="008B3AB3">
            <w:pPr>
              <w:spacing w:after="0" w:line="259" w:lineRule="auto"/>
              <w:ind w:left="0" w:right="56" w:firstLine="0"/>
              <w:jc w:val="center"/>
            </w:pPr>
            <w:r>
              <w:t>3.487</w:t>
            </w:r>
            <w:r>
              <w:rPr>
                <w:vertAlign w:val="superscript"/>
              </w:rPr>
              <w:t>***</w:t>
            </w:r>
            <w: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2B2DB040" w14:textId="77777777" w:rsidR="009C7506" w:rsidRDefault="008B3AB3">
            <w:pPr>
              <w:spacing w:after="0" w:line="259" w:lineRule="auto"/>
              <w:ind w:left="0" w:firstLine="0"/>
              <w:jc w:val="center"/>
            </w:pPr>
            <w:r>
              <w:t xml:space="preserve">0.971 </w:t>
            </w:r>
          </w:p>
        </w:tc>
        <w:tc>
          <w:tcPr>
            <w:tcW w:w="1654" w:type="dxa"/>
            <w:tcBorders>
              <w:top w:val="single" w:sz="4" w:space="0" w:color="000000"/>
              <w:left w:val="single" w:sz="4" w:space="0" w:color="000000"/>
              <w:bottom w:val="single" w:sz="4" w:space="0" w:color="000000"/>
              <w:right w:val="single" w:sz="4" w:space="0" w:color="000000"/>
            </w:tcBorders>
            <w:vAlign w:val="center"/>
          </w:tcPr>
          <w:p w14:paraId="12CF4AEA" w14:textId="77777777" w:rsidR="009C7506" w:rsidRDefault="008B3AB3">
            <w:pPr>
              <w:spacing w:after="0" w:line="259" w:lineRule="auto"/>
              <w:ind w:left="0" w:right="57" w:firstLine="0"/>
              <w:jc w:val="center"/>
            </w:pPr>
            <w:r>
              <w:t>4.357</w:t>
            </w:r>
            <w:r>
              <w:rPr>
                <w:vertAlign w:val="superscript"/>
              </w:rPr>
              <w:t>***</w:t>
            </w:r>
            <w: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3579A74F" w14:textId="77777777" w:rsidR="009C7506" w:rsidRDefault="008B3AB3">
            <w:pPr>
              <w:spacing w:after="0" w:line="259" w:lineRule="auto"/>
              <w:ind w:left="0" w:firstLine="0"/>
              <w:jc w:val="center"/>
            </w:pPr>
            <w:r>
              <w:t xml:space="preserve">0.580 </w:t>
            </w:r>
          </w:p>
        </w:tc>
      </w:tr>
      <w:tr w:rsidR="009C7506" w14:paraId="5968843D" w14:textId="77777777">
        <w:trPr>
          <w:trHeight w:val="478"/>
        </w:trPr>
        <w:tc>
          <w:tcPr>
            <w:tcW w:w="0" w:type="auto"/>
            <w:vMerge/>
            <w:tcBorders>
              <w:top w:val="nil"/>
              <w:left w:val="single" w:sz="4" w:space="0" w:color="000000"/>
              <w:bottom w:val="single" w:sz="4" w:space="0" w:color="000000"/>
              <w:right w:val="single" w:sz="4" w:space="0" w:color="000000"/>
            </w:tcBorders>
          </w:tcPr>
          <w:p w14:paraId="01CC5D09" w14:textId="77777777" w:rsidR="009C7506" w:rsidRDefault="009C7506">
            <w:pPr>
              <w:spacing w:after="160" w:line="259" w:lineRule="auto"/>
              <w:ind w:left="0" w:right="0" w:firstLine="0"/>
              <w:jc w:val="left"/>
            </w:pPr>
          </w:p>
        </w:tc>
        <w:tc>
          <w:tcPr>
            <w:tcW w:w="1769" w:type="dxa"/>
            <w:tcBorders>
              <w:top w:val="single" w:sz="4" w:space="0" w:color="000000"/>
              <w:left w:val="single" w:sz="4" w:space="0" w:color="000000"/>
              <w:bottom w:val="single" w:sz="4" w:space="0" w:color="000000"/>
              <w:right w:val="single" w:sz="4" w:space="0" w:color="000000"/>
            </w:tcBorders>
            <w:vAlign w:val="center"/>
          </w:tcPr>
          <w:p w14:paraId="1819CE41" w14:textId="77777777" w:rsidR="009C7506" w:rsidRDefault="008B3AB3">
            <w:pPr>
              <w:spacing w:after="0" w:line="259" w:lineRule="auto"/>
              <w:ind w:left="0" w:right="52" w:firstLine="0"/>
              <w:jc w:val="center"/>
            </w:pPr>
            <w:r>
              <w:t xml:space="preserve">(5.92) </w:t>
            </w:r>
          </w:p>
        </w:tc>
        <w:tc>
          <w:tcPr>
            <w:tcW w:w="1884" w:type="dxa"/>
            <w:tcBorders>
              <w:top w:val="single" w:sz="4" w:space="0" w:color="000000"/>
              <w:left w:val="single" w:sz="4" w:space="0" w:color="000000"/>
              <w:bottom w:val="single" w:sz="4" w:space="0" w:color="000000"/>
              <w:right w:val="single" w:sz="4" w:space="0" w:color="000000"/>
            </w:tcBorders>
            <w:vAlign w:val="center"/>
          </w:tcPr>
          <w:p w14:paraId="310A5EFF" w14:textId="77777777" w:rsidR="009C7506" w:rsidRDefault="008B3AB3">
            <w:pPr>
              <w:spacing w:after="0" w:line="259" w:lineRule="auto"/>
              <w:ind w:left="0" w:right="53" w:firstLine="0"/>
              <w:jc w:val="center"/>
            </w:pPr>
            <w:r>
              <w:t xml:space="preserve">(1.94) </w:t>
            </w:r>
          </w:p>
        </w:tc>
        <w:tc>
          <w:tcPr>
            <w:tcW w:w="1654" w:type="dxa"/>
            <w:tcBorders>
              <w:top w:val="single" w:sz="4" w:space="0" w:color="000000"/>
              <w:left w:val="single" w:sz="4" w:space="0" w:color="000000"/>
              <w:bottom w:val="single" w:sz="4" w:space="0" w:color="000000"/>
              <w:right w:val="single" w:sz="4" w:space="0" w:color="000000"/>
            </w:tcBorders>
            <w:vAlign w:val="center"/>
          </w:tcPr>
          <w:p w14:paraId="75EB1CC6" w14:textId="77777777" w:rsidR="009C7506" w:rsidRDefault="008B3AB3">
            <w:pPr>
              <w:spacing w:after="0" w:line="259" w:lineRule="auto"/>
              <w:ind w:left="0" w:right="53" w:firstLine="0"/>
              <w:jc w:val="center"/>
            </w:pPr>
            <w:r>
              <w:t xml:space="preserve">(5.95) </w:t>
            </w:r>
          </w:p>
        </w:tc>
        <w:tc>
          <w:tcPr>
            <w:tcW w:w="1654" w:type="dxa"/>
            <w:tcBorders>
              <w:top w:val="single" w:sz="4" w:space="0" w:color="000000"/>
              <w:left w:val="single" w:sz="4" w:space="0" w:color="000000"/>
              <w:bottom w:val="single" w:sz="4" w:space="0" w:color="000000"/>
              <w:right w:val="single" w:sz="4" w:space="0" w:color="000000"/>
            </w:tcBorders>
            <w:vAlign w:val="center"/>
          </w:tcPr>
          <w:p w14:paraId="57BBC45A" w14:textId="77777777" w:rsidR="009C7506" w:rsidRDefault="008B3AB3">
            <w:pPr>
              <w:spacing w:after="0" w:line="259" w:lineRule="auto"/>
              <w:ind w:left="0" w:right="53" w:firstLine="0"/>
              <w:jc w:val="center"/>
            </w:pPr>
            <w:r>
              <w:t xml:space="preserve">(0.96) </w:t>
            </w:r>
          </w:p>
        </w:tc>
      </w:tr>
      <w:tr w:rsidR="009C7506" w14:paraId="19F5D2CD" w14:textId="77777777">
        <w:trPr>
          <w:trHeight w:val="946"/>
        </w:trPr>
        <w:tc>
          <w:tcPr>
            <w:tcW w:w="1562" w:type="dxa"/>
            <w:tcBorders>
              <w:top w:val="single" w:sz="4" w:space="0" w:color="000000"/>
              <w:left w:val="single" w:sz="4" w:space="0" w:color="000000"/>
              <w:bottom w:val="single" w:sz="4" w:space="0" w:color="000000"/>
              <w:right w:val="single" w:sz="4" w:space="0" w:color="000000"/>
            </w:tcBorders>
            <w:vAlign w:val="center"/>
          </w:tcPr>
          <w:p w14:paraId="19A6064F" w14:textId="77777777" w:rsidR="009C7506" w:rsidRDefault="008B3AB3">
            <w:pPr>
              <w:spacing w:after="0" w:line="259" w:lineRule="auto"/>
              <w:ind w:left="5" w:right="4" w:firstLine="0"/>
              <w:jc w:val="center"/>
            </w:pPr>
            <w:r>
              <w:t xml:space="preserve">Sample volume </w:t>
            </w:r>
          </w:p>
        </w:tc>
        <w:tc>
          <w:tcPr>
            <w:tcW w:w="1769" w:type="dxa"/>
            <w:tcBorders>
              <w:top w:val="single" w:sz="4" w:space="0" w:color="000000"/>
              <w:left w:val="single" w:sz="4" w:space="0" w:color="000000"/>
              <w:bottom w:val="single" w:sz="4" w:space="0" w:color="000000"/>
              <w:right w:val="single" w:sz="4" w:space="0" w:color="000000"/>
            </w:tcBorders>
            <w:vAlign w:val="center"/>
          </w:tcPr>
          <w:p w14:paraId="114CB8A1" w14:textId="77777777" w:rsidR="009C7506" w:rsidRDefault="008B3AB3">
            <w:pPr>
              <w:spacing w:after="0" w:line="259" w:lineRule="auto"/>
              <w:ind w:left="0" w:right="56" w:firstLine="0"/>
              <w:jc w:val="center"/>
            </w:pPr>
            <w:r>
              <w:t xml:space="preserve">140 </w:t>
            </w:r>
          </w:p>
        </w:tc>
        <w:tc>
          <w:tcPr>
            <w:tcW w:w="1884" w:type="dxa"/>
            <w:tcBorders>
              <w:top w:val="single" w:sz="4" w:space="0" w:color="000000"/>
              <w:left w:val="single" w:sz="4" w:space="0" w:color="000000"/>
              <w:bottom w:val="single" w:sz="4" w:space="0" w:color="000000"/>
              <w:right w:val="single" w:sz="4" w:space="0" w:color="000000"/>
            </w:tcBorders>
            <w:vAlign w:val="center"/>
          </w:tcPr>
          <w:p w14:paraId="4753A73E" w14:textId="77777777" w:rsidR="009C7506" w:rsidRDefault="008B3AB3">
            <w:pPr>
              <w:spacing w:after="0" w:line="259" w:lineRule="auto"/>
              <w:ind w:left="0" w:right="57" w:firstLine="0"/>
              <w:jc w:val="center"/>
            </w:pPr>
            <w:r>
              <w:t xml:space="preserve">141 </w:t>
            </w:r>
          </w:p>
        </w:tc>
        <w:tc>
          <w:tcPr>
            <w:tcW w:w="1654" w:type="dxa"/>
            <w:tcBorders>
              <w:top w:val="single" w:sz="4" w:space="0" w:color="000000"/>
              <w:left w:val="single" w:sz="4" w:space="0" w:color="000000"/>
              <w:bottom w:val="single" w:sz="4" w:space="0" w:color="000000"/>
              <w:right w:val="single" w:sz="4" w:space="0" w:color="000000"/>
            </w:tcBorders>
            <w:vAlign w:val="center"/>
          </w:tcPr>
          <w:p w14:paraId="6F43DC8C" w14:textId="77777777" w:rsidR="009C7506" w:rsidRDefault="008B3AB3">
            <w:pPr>
              <w:spacing w:after="0" w:line="259" w:lineRule="auto"/>
              <w:ind w:left="0" w:right="57" w:firstLine="0"/>
              <w:jc w:val="center"/>
            </w:pPr>
            <w:r>
              <w:t xml:space="preserve">80 </w:t>
            </w:r>
          </w:p>
        </w:tc>
        <w:tc>
          <w:tcPr>
            <w:tcW w:w="1654" w:type="dxa"/>
            <w:tcBorders>
              <w:top w:val="single" w:sz="4" w:space="0" w:color="000000"/>
              <w:left w:val="single" w:sz="4" w:space="0" w:color="000000"/>
              <w:bottom w:val="single" w:sz="4" w:space="0" w:color="000000"/>
              <w:right w:val="single" w:sz="4" w:space="0" w:color="000000"/>
            </w:tcBorders>
            <w:vAlign w:val="center"/>
          </w:tcPr>
          <w:p w14:paraId="1970DDB3" w14:textId="77777777" w:rsidR="009C7506" w:rsidRDefault="008B3AB3">
            <w:pPr>
              <w:spacing w:after="0" w:line="259" w:lineRule="auto"/>
              <w:ind w:left="0" w:right="56" w:firstLine="0"/>
              <w:jc w:val="center"/>
            </w:pPr>
            <w:r>
              <w:t xml:space="preserve">81 </w:t>
            </w:r>
          </w:p>
        </w:tc>
      </w:tr>
      <w:tr w:rsidR="009C7506" w14:paraId="2F0322A4" w14:textId="77777777">
        <w:trPr>
          <w:trHeight w:val="646"/>
        </w:trPr>
        <w:tc>
          <w:tcPr>
            <w:tcW w:w="1562" w:type="dxa"/>
            <w:tcBorders>
              <w:top w:val="single" w:sz="4" w:space="0" w:color="000000"/>
              <w:left w:val="single" w:sz="4" w:space="0" w:color="000000"/>
              <w:bottom w:val="single" w:sz="4" w:space="0" w:color="000000"/>
              <w:right w:val="single" w:sz="4" w:space="0" w:color="000000"/>
            </w:tcBorders>
            <w:vAlign w:val="center"/>
          </w:tcPr>
          <w:p w14:paraId="06A4D3D9" w14:textId="77777777" w:rsidR="009C7506" w:rsidRDefault="008B3AB3">
            <w:pPr>
              <w:spacing w:after="0" w:line="259" w:lineRule="auto"/>
              <w:ind w:left="0" w:right="52" w:firstLine="0"/>
              <w:jc w:val="center"/>
            </w:pPr>
            <w:r>
              <w:t xml:space="preserve">R-squared </w:t>
            </w:r>
          </w:p>
        </w:tc>
        <w:tc>
          <w:tcPr>
            <w:tcW w:w="1769" w:type="dxa"/>
            <w:tcBorders>
              <w:top w:val="single" w:sz="4" w:space="0" w:color="000000"/>
              <w:left w:val="single" w:sz="4" w:space="0" w:color="000000"/>
              <w:bottom w:val="single" w:sz="4" w:space="0" w:color="000000"/>
              <w:right w:val="single" w:sz="4" w:space="0" w:color="000000"/>
            </w:tcBorders>
            <w:vAlign w:val="center"/>
          </w:tcPr>
          <w:p w14:paraId="7C5FE958" w14:textId="77777777" w:rsidR="009C7506" w:rsidRDefault="008B3AB3">
            <w:pPr>
              <w:spacing w:after="0" w:line="259" w:lineRule="auto"/>
              <w:ind w:left="0" w:right="53" w:firstLine="0"/>
              <w:jc w:val="center"/>
            </w:pPr>
            <w:r>
              <w:t xml:space="preserve">0.7337 </w:t>
            </w:r>
          </w:p>
        </w:tc>
        <w:tc>
          <w:tcPr>
            <w:tcW w:w="1884" w:type="dxa"/>
            <w:tcBorders>
              <w:top w:val="single" w:sz="4" w:space="0" w:color="000000"/>
              <w:left w:val="single" w:sz="4" w:space="0" w:color="000000"/>
              <w:bottom w:val="single" w:sz="4" w:space="0" w:color="000000"/>
              <w:right w:val="single" w:sz="4" w:space="0" w:color="000000"/>
            </w:tcBorders>
            <w:vAlign w:val="center"/>
          </w:tcPr>
          <w:p w14:paraId="0687DA0C" w14:textId="77777777" w:rsidR="009C7506" w:rsidRDefault="008B3AB3">
            <w:pPr>
              <w:spacing w:after="0" w:line="259" w:lineRule="auto"/>
              <w:ind w:left="0" w:firstLine="0"/>
              <w:jc w:val="center"/>
            </w:pPr>
            <w:r>
              <w:t xml:space="preserve">0.4938 </w:t>
            </w:r>
          </w:p>
        </w:tc>
        <w:tc>
          <w:tcPr>
            <w:tcW w:w="1654" w:type="dxa"/>
            <w:tcBorders>
              <w:top w:val="single" w:sz="4" w:space="0" w:color="000000"/>
              <w:left w:val="single" w:sz="4" w:space="0" w:color="000000"/>
              <w:bottom w:val="single" w:sz="4" w:space="0" w:color="000000"/>
              <w:right w:val="single" w:sz="4" w:space="0" w:color="000000"/>
            </w:tcBorders>
            <w:vAlign w:val="center"/>
          </w:tcPr>
          <w:p w14:paraId="24C4A241" w14:textId="77777777" w:rsidR="009C7506" w:rsidRDefault="008B3AB3">
            <w:pPr>
              <w:spacing w:after="0" w:line="259" w:lineRule="auto"/>
              <w:ind w:left="0" w:right="55" w:firstLine="0"/>
              <w:jc w:val="center"/>
            </w:pPr>
            <w:r>
              <w:t xml:space="preserve">0.8214 </w:t>
            </w:r>
          </w:p>
        </w:tc>
        <w:tc>
          <w:tcPr>
            <w:tcW w:w="1654" w:type="dxa"/>
            <w:tcBorders>
              <w:top w:val="single" w:sz="4" w:space="0" w:color="000000"/>
              <w:left w:val="single" w:sz="4" w:space="0" w:color="000000"/>
              <w:bottom w:val="single" w:sz="4" w:space="0" w:color="000000"/>
              <w:right w:val="single" w:sz="4" w:space="0" w:color="000000"/>
            </w:tcBorders>
            <w:vAlign w:val="center"/>
          </w:tcPr>
          <w:p w14:paraId="26914B51" w14:textId="77777777" w:rsidR="009C7506" w:rsidRDefault="008B3AB3">
            <w:pPr>
              <w:spacing w:after="0" w:line="259" w:lineRule="auto"/>
              <w:ind w:left="0" w:firstLine="0"/>
              <w:jc w:val="center"/>
            </w:pPr>
            <w:r>
              <w:t xml:space="preserve">0.6237 </w:t>
            </w:r>
          </w:p>
        </w:tc>
      </w:tr>
    </w:tbl>
    <w:p w14:paraId="2654BA9B" w14:textId="77777777" w:rsidR="009C7506" w:rsidRDefault="008B3AB3">
      <w:pPr>
        <w:ind w:left="21" w:right="45"/>
      </w:pPr>
      <w:r>
        <w:t xml:space="preserve">Note: using OLS regression; The value in the brackets is t value; * p &lt; 0.05, * * p &lt; 0.01, * * </w:t>
      </w:r>
      <w:r>
        <w:t xml:space="preserve">* p &lt; 0.001, represent significance at the 1% level, 5% level and 10% level respectively. </w:t>
      </w:r>
    </w:p>
    <w:p w14:paraId="1B879BA9" w14:textId="77777777" w:rsidR="009C7506" w:rsidRDefault="008B3AB3">
      <w:pPr>
        <w:spacing w:after="41" w:line="259" w:lineRule="auto"/>
        <w:ind w:left="0" w:right="0" w:firstLine="0"/>
        <w:jc w:val="left"/>
      </w:pPr>
      <w:r>
        <w:t xml:space="preserve"> </w:t>
      </w:r>
    </w:p>
    <w:p w14:paraId="3C6B6395" w14:textId="77777777" w:rsidR="009C7506" w:rsidRDefault="008B3AB3">
      <w:pPr>
        <w:pStyle w:val="Heading2"/>
        <w:ind w:left="-5" w:right="41"/>
      </w:pPr>
      <w:r>
        <w:t xml:space="preserve">5.2 Robustness test </w:t>
      </w:r>
    </w:p>
    <w:p w14:paraId="7ED82603" w14:textId="77777777" w:rsidR="009C7506" w:rsidRDefault="008B3AB3">
      <w:pPr>
        <w:spacing w:after="36" w:line="259" w:lineRule="auto"/>
        <w:ind w:left="0" w:right="0" w:firstLine="0"/>
        <w:jc w:val="left"/>
      </w:pPr>
      <w:r>
        <w:t xml:space="preserve"> </w:t>
      </w:r>
    </w:p>
    <w:p w14:paraId="45374DF4" w14:textId="77777777" w:rsidR="009C7506" w:rsidRDefault="008B3AB3">
      <w:pPr>
        <w:ind w:left="21" w:right="45"/>
      </w:pPr>
      <w:r>
        <w:t>In order to further verify the robustness of the regression results, this paper includes the bond credit rating factor on the credit spread regression in table 7 and 8. By adding credit rating results to the credit spread regression, we can eliminate the e</w:t>
      </w:r>
      <w:r>
        <w:t xml:space="preserve">ffect of bonds’ credit rating on the spread results, and the regression results are still robust. </w:t>
      </w:r>
    </w:p>
    <w:p w14:paraId="75B6760F" w14:textId="77777777" w:rsidR="009C7506" w:rsidRDefault="008B3AB3">
      <w:pPr>
        <w:spacing w:after="36" w:line="259" w:lineRule="auto"/>
        <w:ind w:left="0" w:right="0" w:firstLine="0"/>
        <w:jc w:val="left"/>
      </w:pPr>
      <w:r>
        <w:lastRenderedPageBreak/>
        <w:t xml:space="preserve"> </w:t>
      </w:r>
    </w:p>
    <w:p w14:paraId="73DC1748" w14:textId="77777777" w:rsidR="009C7506" w:rsidRDefault="008B3AB3">
      <w:pPr>
        <w:ind w:left="21" w:right="45"/>
      </w:pPr>
      <w:r>
        <w:t>The higher the credit rating, the lower the probability of default. Correspondingly, the risk premium demanded by bond investors is smaller. Therefore, the</w:t>
      </w:r>
      <w:r>
        <w:t xml:space="preserve"> credit rating is expected to be negative in the credit spread regression. In samples from 2008 to 2013, the results were confirmed with our expectations. The credit rating has a negative sign and is significant at the 1% level. In the credit spread regres</w:t>
      </w:r>
      <w:r>
        <w:t>sion between 2014 and 2015, the credit spread still has a negative sign, but significance is reduced. This again verify that with the bond default events, the investor and rating agencies have heterogeneous reactions. Rating agencies are more cautious, whi</w:t>
      </w:r>
      <w:r>
        <w:t xml:space="preserve">le the investors still have strong "rigid payment" expectations. The frequent occurrence of the default event has only enhance the investors' risk awareness but the subsequent treatment of the default bonds has strengthened investors' consideration of the </w:t>
      </w:r>
      <w:r>
        <w:t xml:space="preserve">"rigid payment" factors. We maintain that the heterogeneous reaction leads to the decreasing significance of the credit ratings on the credit spreads after 2014. </w:t>
      </w:r>
    </w:p>
    <w:p w14:paraId="5D760C7B" w14:textId="77777777" w:rsidR="009C7506" w:rsidRDefault="008B3AB3">
      <w:pPr>
        <w:spacing w:after="41" w:line="259" w:lineRule="auto"/>
        <w:ind w:left="0" w:right="0" w:firstLine="0"/>
        <w:jc w:val="left"/>
      </w:pPr>
      <w:r>
        <w:t xml:space="preserve"> </w:t>
      </w:r>
    </w:p>
    <w:p w14:paraId="14C9B71C" w14:textId="77777777" w:rsidR="009C7506" w:rsidRDefault="008B3AB3">
      <w:pPr>
        <w:pStyle w:val="Heading2"/>
        <w:spacing w:after="3"/>
        <w:ind w:right="63"/>
        <w:jc w:val="center"/>
      </w:pPr>
      <w:r>
        <w:t xml:space="preserve">Table 9 Robustness test  </w:t>
      </w:r>
    </w:p>
    <w:tbl>
      <w:tblPr>
        <w:tblStyle w:val="TableGrid"/>
        <w:tblW w:w="7554" w:type="dxa"/>
        <w:tblInd w:w="377" w:type="dxa"/>
        <w:tblCellMar>
          <w:top w:w="0" w:type="dxa"/>
          <w:left w:w="115" w:type="dxa"/>
          <w:bottom w:w="0" w:type="dxa"/>
          <w:right w:w="115" w:type="dxa"/>
        </w:tblCellMar>
        <w:tblLook w:val="04A0" w:firstRow="1" w:lastRow="0" w:firstColumn="1" w:lastColumn="0" w:noHBand="0" w:noVBand="1"/>
      </w:tblPr>
      <w:tblGrid>
        <w:gridCol w:w="3583"/>
        <w:gridCol w:w="1995"/>
        <w:gridCol w:w="1976"/>
      </w:tblGrid>
      <w:tr w:rsidR="009C7506" w14:paraId="09B62D9C"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19825A48" w14:textId="77777777" w:rsidR="009C7506" w:rsidRDefault="008B3AB3">
            <w:pPr>
              <w:spacing w:after="0" w:line="259" w:lineRule="auto"/>
              <w:ind w:left="58" w:right="0" w:firstLine="0"/>
              <w:jc w:val="center"/>
            </w:pPr>
            <w:r>
              <w:t xml:space="preserve"> </w:t>
            </w:r>
          </w:p>
        </w:tc>
        <w:tc>
          <w:tcPr>
            <w:tcW w:w="1995" w:type="dxa"/>
            <w:tcBorders>
              <w:top w:val="single" w:sz="4" w:space="0" w:color="000000"/>
              <w:left w:val="single" w:sz="4" w:space="0" w:color="000000"/>
              <w:bottom w:val="single" w:sz="4" w:space="0" w:color="000000"/>
              <w:right w:val="single" w:sz="4" w:space="0" w:color="000000"/>
            </w:tcBorders>
            <w:vAlign w:val="center"/>
          </w:tcPr>
          <w:p w14:paraId="38CE3CF8" w14:textId="77777777" w:rsidR="009C7506" w:rsidRDefault="008B3AB3">
            <w:pPr>
              <w:spacing w:after="0" w:line="259" w:lineRule="auto"/>
              <w:ind w:left="0" w:right="4" w:firstLine="0"/>
              <w:jc w:val="center"/>
            </w:pPr>
            <w:r>
              <w:t xml:space="preserve">2008-2013 </w:t>
            </w:r>
          </w:p>
        </w:tc>
        <w:tc>
          <w:tcPr>
            <w:tcW w:w="1976" w:type="dxa"/>
            <w:tcBorders>
              <w:top w:val="single" w:sz="4" w:space="0" w:color="000000"/>
              <w:left w:val="single" w:sz="4" w:space="0" w:color="000000"/>
              <w:bottom w:val="single" w:sz="4" w:space="0" w:color="000000"/>
              <w:right w:val="single" w:sz="4" w:space="0" w:color="000000"/>
            </w:tcBorders>
            <w:vAlign w:val="center"/>
          </w:tcPr>
          <w:p w14:paraId="5B05D481" w14:textId="77777777" w:rsidR="009C7506" w:rsidRDefault="008B3AB3">
            <w:pPr>
              <w:spacing w:after="0" w:line="259" w:lineRule="auto"/>
              <w:ind w:left="0" w:right="0" w:firstLine="0"/>
              <w:jc w:val="center"/>
            </w:pPr>
            <w:r>
              <w:t xml:space="preserve">2014-2015 </w:t>
            </w:r>
          </w:p>
        </w:tc>
      </w:tr>
      <w:tr w:rsidR="009C7506" w14:paraId="2A40EA90" w14:textId="77777777">
        <w:trPr>
          <w:trHeight w:val="478"/>
        </w:trPr>
        <w:tc>
          <w:tcPr>
            <w:tcW w:w="0" w:type="auto"/>
            <w:vMerge/>
            <w:tcBorders>
              <w:top w:val="nil"/>
              <w:left w:val="single" w:sz="4" w:space="0" w:color="000000"/>
              <w:bottom w:val="nil"/>
              <w:right w:val="single" w:sz="4" w:space="0" w:color="000000"/>
            </w:tcBorders>
          </w:tcPr>
          <w:p w14:paraId="2D007DDC"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06E91FA4" w14:textId="77777777" w:rsidR="009C7506" w:rsidRDefault="008B3AB3">
            <w:pPr>
              <w:spacing w:after="0" w:line="259" w:lineRule="auto"/>
              <w:ind w:left="0" w:right="4" w:firstLine="0"/>
              <w:jc w:val="center"/>
            </w:pPr>
            <w:r>
              <w:t xml:space="preserve">OLS </w:t>
            </w:r>
          </w:p>
        </w:tc>
        <w:tc>
          <w:tcPr>
            <w:tcW w:w="1976" w:type="dxa"/>
            <w:tcBorders>
              <w:top w:val="single" w:sz="4" w:space="0" w:color="000000"/>
              <w:left w:val="single" w:sz="4" w:space="0" w:color="000000"/>
              <w:bottom w:val="single" w:sz="4" w:space="0" w:color="000000"/>
              <w:right w:val="single" w:sz="4" w:space="0" w:color="000000"/>
            </w:tcBorders>
            <w:vAlign w:val="center"/>
          </w:tcPr>
          <w:p w14:paraId="386F8B54" w14:textId="77777777" w:rsidR="009C7506" w:rsidRDefault="008B3AB3">
            <w:pPr>
              <w:spacing w:after="0" w:line="259" w:lineRule="auto"/>
              <w:ind w:left="1" w:right="0" w:firstLine="0"/>
              <w:jc w:val="center"/>
            </w:pPr>
            <w:r>
              <w:t xml:space="preserve">OLS </w:t>
            </w:r>
          </w:p>
        </w:tc>
      </w:tr>
      <w:tr w:rsidR="009C7506" w14:paraId="384F7D60" w14:textId="77777777">
        <w:trPr>
          <w:trHeight w:val="478"/>
        </w:trPr>
        <w:tc>
          <w:tcPr>
            <w:tcW w:w="0" w:type="auto"/>
            <w:vMerge/>
            <w:tcBorders>
              <w:top w:val="nil"/>
              <w:left w:val="single" w:sz="4" w:space="0" w:color="000000"/>
              <w:bottom w:val="single" w:sz="4" w:space="0" w:color="000000"/>
              <w:right w:val="single" w:sz="4" w:space="0" w:color="000000"/>
            </w:tcBorders>
          </w:tcPr>
          <w:p w14:paraId="17735003"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3DD13152" w14:textId="77777777" w:rsidR="009C7506" w:rsidRDefault="008B3AB3">
            <w:pPr>
              <w:spacing w:after="0" w:line="259" w:lineRule="auto"/>
              <w:ind w:left="0" w:right="4" w:firstLine="0"/>
              <w:jc w:val="center"/>
            </w:pPr>
            <w:r>
              <w:t xml:space="preserve">Credit spreads </w:t>
            </w:r>
          </w:p>
        </w:tc>
        <w:tc>
          <w:tcPr>
            <w:tcW w:w="1976" w:type="dxa"/>
            <w:tcBorders>
              <w:top w:val="single" w:sz="4" w:space="0" w:color="000000"/>
              <w:left w:val="single" w:sz="4" w:space="0" w:color="000000"/>
              <w:bottom w:val="single" w:sz="4" w:space="0" w:color="000000"/>
              <w:right w:val="single" w:sz="4" w:space="0" w:color="000000"/>
            </w:tcBorders>
            <w:vAlign w:val="center"/>
          </w:tcPr>
          <w:p w14:paraId="1D5DF367" w14:textId="77777777" w:rsidR="009C7506" w:rsidRDefault="008B3AB3">
            <w:pPr>
              <w:spacing w:after="0" w:line="259" w:lineRule="auto"/>
              <w:ind w:left="0" w:right="0" w:firstLine="0"/>
              <w:jc w:val="center"/>
            </w:pPr>
            <w:r>
              <w:t xml:space="preserve">Credit spreads </w:t>
            </w:r>
          </w:p>
        </w:tc>
      </w:tr>
      <w:tr w:rsidR="009C7506" w14:paraId="6F3FA197" w14:textId="77777777">
        <w:trPr>
          <w:trHeight w:val="480"/>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5C89A63D" w14:textId="77777777" w:rsidR="009C7506" w:rsidRDefault="008B3AB3">
            <w:pPr>
              <w:spacing w:after="0" w:line="259" w:lineRule="auto"/>
              <w:ind w:left="3" w:right="0" w:firstLine="0"/>
              <w:jc w:val="center"/>
            </w:pPr>
            <w:r>
              <w:rPr>
                <w:i/>
              </w:rPr>
              <w:t xml:space="preserve">SOE </w:t>
            </w:r>
          </w:p>
        </w:tc>
        <w:tc>
          <w:tcPr>
            <w:tcW w:w="1995" w:type="dxa"/>
            <w:tcBorders>
              <w:top w:val="single" w:sz="4" w:space="0" w:color="000000"/>
              <w:left w:val="single" w:sz="4" w:space="0" w:color="000000"/>
              <w:bottom w:val="single" w:sz="4" w:space="0" w:color="000000"/>
              <w:right w:val="single" w:sz="4" w:space="0" w:color="000000"/>
            </w:tcBorders>
            <w:vAlign w:val="center"/>
          </w:tcPr>
          <w:p w14:paraId="27BB4E40" w14:textId="77777777" w:rsidR="009C7506" w:rsidRDefault="008B3AB3">
            <w:pPr>
              <w:spacing w:after="0" w:line="259" w:lineRule="auto"/>
              <w:ind w:left="0" w:right="4" w:firstLine="0"/>
              <w:jc w:val="center"/>
            </w:pPr>
            <w:r>
              <w:t>-0.313</w:t>
            </w:r>
            <w:r>
              <w:rPr>
                <w:vertAlign w:val="superscript"/>
              </w:rPr>
              <w:t>**</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14:paraId="57B5A9CA" w14:textId="77777777" w:rsidR="009C7506" w:rsidRDefault="008B3AB3">
            <w:pPr>
              <w:spacing w:after="0" w:line="259" w:lineRule="auto"/>
              <w:ind w:left="0" w:right="2" w:firstLine="0"/>
              <w:jc w:val="center"/>
            </w:pPr>
            <w:r>
              <w:t>-1.671</w:t>
            </w:r>
            <w:r>
              <w:rPr>
                <w:vertAlign w:val="superscript"/>
              </w:rPr>
              <w:t>***</w:t>
            </w:r>
            <w:r>
              <w:t xml:space="preserve"> </w:t>
            </w:r>
          </w:p>
        </w:tc>
      </w:tr>
      <w:tr w:rsidR="009C7506" w14:paraId="7FDBAC87" w14:textId="77777777">
        <w:trPr>
          <w:trHeight w:val="478"/>
        </w:trPr>
        <w:tc>
          <w:tcPr>
            <w:tcW w:w="0" w:type="auto"/>
            <w:vMerge/>
            <w:tcBorders>
              <w:top w:val="nil"/>
              <w:left w:val="single" w:sz="4" w:space="0" w:color="000000"/>
              <w:bottom w:val="single" w:sz="4" w:space="0" w:color="000000"/>
              <w:right w:val="single" w:sz="4" w:space="0" w:color="000000"/>
            </w:tcBorders>
          </w:tcPr>
          <w:p w14:paraId="77271DAE"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32AA97EB" w14:textId="77777777" w:rsidR="009C7506" w:rsidRDefault="008B3AB3">
            <w:pPr>
              <w:spacing w:after="0" w:line="259" w:lineRule="auto"/>
              <w:ind w:left="0" w:right="3" w:firstLine="0"/>
              <w:jc w:val="center"/>
            </w:pPr>
            <w:r>
              <w:t xml:space="preserve">(-2.84) </w:t>
            </w:r>
          </w:p>
        </w:tc>
        <w:tc>
          <w:tcPr>
            <w:tcW w:w="1976" w:type="dxa"/>
            <w:tcBorders>
              <w:top w:val="single" w:sz="4" w:space="0" w:color="000000"/>
              <w:left w:val="single" w:sz="4" w:space="0" w:color="000000"/>
              <w:bottom w:val="single" w:sz="4" w:space="0" w:color="000000"/>
              <w:right w:val="single" w:sz="4" w:space="0" w:color="000000"/>
            </w:tcBorders>
            <w:vAlign w:val="center"/>
          </w:tcPr>
          <w:p w14:paraId="5592E803" w14:textId="77777777" w:rsidR="009C7506" w:rsidRDefault="008B3AB3">
            <w:pPr>
              <w:spacing w:after="0" w:line="259" w:lineRule="auto"/>
              <w:ind w:left="0" w:right="3" w:firstLine="0"/>
              <w:jc w:val="center"/>
            </w:pPr>
            <w:r>
              <w:t xml:space="preserve">(-7.39) </w:t>
            </w:r>
          </w:p>
        </w:tc>
      </w:tr>
      <w:tr w:rsidR="009C7506" w14:paraId="56741220"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2976B766" w14:textId="77777777" w:rsidR="009C7506" w:rsidRDefault="008B3AB3">
            <w:pPr>
              <w:spacing w:after="0" w:line="259" w:lineRule="auto"/>
              <w:ind w:left="1" w:right="0" w:firstLine="0"/>
              <w:jc w:val="center"/>
            </w:pPr>
            <w:r>
              <w:rPr>
                <w:i/>
              </w:rPr>
              <w:t>UNDRR</w:t>
            </w:r>
            <w:r>
              <w:t xml:space="preserve"> </w:t>
            </w:r>
          </w:p>
        </w:tc>
        <w:tc>
          <w:tcPr>
            <w:tcW w:w="1995" w:type="dxa"/>
            <w:tcBorders>
              <w:top w:val="single" w:sz="4" w:space="0" w:color="000000"/>
              <w:left w:val="single" w:sz="4" w:space="0" w:color="000000"/>
              <w:bottom w:val="single" w:sz="4" w:space="0" w:color="000000"/>
              <w:right w:val="single" w:sz="4" w:space="0" w:color="000000"/>
            </w:tcBorders>
            <w:vAlign w:val="center"/>
          </w:tcPr>
          <w:p w14:paraId="4A667D60" w14:textId="77777777" w:rsidR="009C7506" w:rsidRDefault="008B3AB3">
            <w:pPr>
              <w:spacing w:after="0" w:line="259" w:lineRule="auto"/>
              <w:ind w:left="0" w:right="7" w:firstLine="0"/>
              <w:jc w:val="center"/>
            </w:pPr>
            <w:r>
              <w:t xml:space="preserve">-0.104 </w:t>
            </w:r>
          </w:p>
        </w:tc>
        <w:tc>
          <w:tcPr>
            <w:tcW w:w="1976" w:type="dxa"/>
            <w:tcBorders>
              <w:top w:val="single" w:sz="4" w:space="0" w:color="000000"/>
              <w:left w:val="single" w:sz="4" w:space="0" w:color="000000"/>
              <w:bottom w:val="single" w:sz="4" w:space="0" w:color="000000"/>
              <w:right w:val="single" w:sz="4" w:space="0" w:color="000000"/>
            </w:tcBorders>
            <w:vAlign w:val="center"/>
          </w:tcPr>
          <w:p w14:paraId="58E4A3FD" w14:textId="77777777" w:rsidR="009C7506" w:rsidRDefault="008B3AB3">
            <w:pPr>
              <w:spacing w:after="0" w:line="259" w:lineRule="auto"/>
              <w:ind w:left="0" w:right="2" w:firstLine="0"/>
              <w:jc w:val="center"/>
            </w:pPr>
            <w:r>
              <w:t xml:space="preserve">-0.225 </w:t>
            </w:r>
          </w:p>
        </w:tc>
      </w:tr>
      <w:tr w:rsidR="009C7506" w14:paraId="2AEDC093" w14:textId="77777777">
        <w:trPr>
          <w:trHeight w:val="478"/>
        </w:trPr>
        <w:tc>
          <w:tcPr>
            <w:tcW w:w="0" w:type="auto"/>
            <w:vMerge/>
            <w:tcBorders>
              <w:top w:val="nil"/>
              <w:left w:val="single" w:sz="4" w:space="0" w:color="000000"/>
              <w:bottom w:val="single" w:sz="4" w:space="0" w:color="000000"/>
              <w:right w:val="single" w:sz="4" w:space="0" w:color="000000"/>
            </w:tcBorders>
          </w:tcPr>
          <w:p w14:paraId="3DE84113"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12153B84" w14:textId="77777777" w:rsidR="009C7506" w:rsidRDefault="008B3AB3">
            <w:pPr>
              <w:spacing w:after="0" w:line="259" w:lineRule="auto"/>
              <w:ind w:left="0" w:right="3" w:firstLine="0"/>
              <w:jc w:val="center"/>
            </w:pPr>
            <w:r>
              <w:t xml:space="preserve">(-0.92) </w:t>
            </w:r>
          </w:p>
        </w:tc>
        <w:tc>
          <w:tcPr>
            <w:tcW w:w="1976" w:type="dxa"/>
            <w:tcBorders>
              <w:top w:val="single" w:sz="4" w:space="0" w:color="000000"/>
              <w:left w:val="single" w:sz="4" w:space="0" w:color="000000"/>
              <w:bottom w:val="single" w:sz="4" w:space="0" w:color="000000"/>
              <w:right w:val="single" w:sz="4" w:space="0" w:color="000000"/>
            </w:tcBorders>
            <w:vAlign w:val="center"/>
          </w:tcPr>
          <w:p w14:paraId="5398E09D" w14:textId="77777777" w:rsidR="009C7506" w:rsidRDefault="008B3AB3">
            <w:pPr>
              <w:spacing w:after="0" w:line="259" w:lineRule="auto"/>
              <w:ind w:left="0" w:right="3" w:firstLine="0"/>
              <w:jc w:val="center"/>
            </w:pPr>
            <w:r>
              <w:t xml:space="preserve">(-1.06) </w:t>
            </w:r>
          </w:p>
        </w:tc>
      </w:tr>
      <w:tr w:rsidR="009C7506" w14:paraId="468867F8"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7E01A390" w14:textId="77777777" w:rsidR="009C7506" w:rsidRDefault="008B3AB3">
            <w:pPr>
              <w:spacing w:after="0" w:line="259" w:lineRule="auto"/>
              <w:ind w:left="4" w:right="0" w:firstLine="0"/>
              <w:jc w:val="center"/>
            </w:pPr>
            <w:r>
              <w:rPr>
                <w:i/>
              </w:rPr>
              <w:t>Term</w:t>
            </w:r>
            <w:r>
              <w:t xml:space="preserve"> </w:t>
            </w:r>
          </w:p>
        </w:tc>
        <w:tc>
          <w:tcPr>
            <w:tcW w:w="1995" w:type="dxa"/>
            <w:tcBorders>
              <w:top w:val="single" w:sz="4" w:space="0" w:color="000000"/>
              <w:left w:val="single" w:sz="4" w:space="0" w:color="000000"/>
              <w:bottom w:val="single" w:sz="4" w:space="0" w:color="000000"/>
              <w:right w:val="single" w:sz="4" w:space="0" w:color="000000"/>
            </w:tcBorders>
            <w:vAlign w:val="center"/>
          </w:tcPr>
          <w:p w14:paraId="1FECB530" w14:textId="77777777" w:rsidR="009C7506" w:rsidRDefault="008B3AB3">
            <w:pPr>
              <w:spacing w:after="0" w:line="259" w:lineRule="auto"/>
              <w:ind w:left="0" w:right="7" w:firstLine="0"/>
              <w:jc w:val="center"/>
            </w:pPr>
            <w:r>
              <w:t xml:space="preserve">-0.0609 </w:t>
            </w:r>
          </w:p>
        </w:tc>
        <w:tc>
          <w:tcPr>
            <w:tcW w:w="1976" w:type="dxa"/>
            <w:tcBorders>
              <w:top w:val="single" w:sz="4" w:space="0" w:color="000000"/>
              <w:left w:val="single" w:sz="4" w:space="0" w:color="000000"/>
              <w:bottom w:val="single" w:sz="4" w:space="0" w:color="000000"/>
              <w:right w:val="single" w:sz="4" w:space="0" w:color="000000"/>
            </w:tcBorders>
            <w:vAlign w:val="center"/>
          </w:tcPr>
          <w:p w14:paraId="56EFBF3D" w14:textId="77777777" w:rsidR="009C7506" w:rsidRDefault="008B3AB3">
            <w:pPr>
              <w:spacing w:after="0" w:line="259" w:lineRule="auto"/>
              <w:ind w:left="1" w:right="0" w:firstLine="0"/>
              <w:jc w:val="center"/>
            </w:pPr>
            <w:r>
              <w:t xml:space="preserve">0.0218 </w:t>
            </w:r>
          </w:p>
        </w:tc>
      </w:tr>
      <w:tr w:rsidR="009C7506" w14:paraId="1D267CC2" w14:textId="77777777">
        <w:trPr>
          <w:trHeight w:val="478"/>
        </w:trPr>
        <w:tc>
          <w:tcPr>
            <w:tcW w:w="0" w:type="auto"/>
            <w:vMerge/>
            <w:tcBorders>
              <w:top w:val="nil"/>
              <w:left w:val="single" w:sz="4" w:space="0" w:color="000000"/>
              <w:bottom w:val="single" w:sz="4" w:space="0" w:color="000000"/>
              <w:right w:val="single" w:sz="4" w:space="0" w:color="000000"/>
            </w:tcBorders>
          </w:tcPr>
          <w:p w14:paraId="7A0962A4"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551A2DB4" w14:textId="77777777" w:rsidR="009C7506" w:rsidRDefault="008B3AB3">
            <w:pPr>
              <w:spacing w:after="0" w:line="259" w:lineRule="auto"/>
              <w:ind w:left="0" w:right="3" w:firstLine="0"/>
              <w:jc w:val="center"/>
            </w:pPr>
            <w:r>
              <w:t xml:space="preserve">(-1.91) </w:t>
            </w:r>
          </w:p>
        </w:tc>
        <w:tc>
          <w:tcPr>
            <w:tcW w:w="1976" w:type="dxa"/>
            <w:tcBorders>
              <w:top w:val="single" w:sz="4" w:space="0" w:color="000000"/>
              <w:left w:val="single" w:sz="4" w:space="0" w:color="000000"/>
              <w:bottom w:val="single" w:sz="4" w:space="0" w:color="000000"/>
              <w:right w:val="single" w:sz="4" w:space="0" w:color="000000"/>
            </w:tcBorders>
            <w:vAlign w:val="center"/>
          </w:tcPr>
          <w:p w14:paraId="6858439B" w14:textId="77777777" w:rsidR="009C7506" w:rsidRDefault="008B3AB3">
            <w:pPr>
              <w:spacing w:after="0" w:line="259" w:lineRule="auto"/>
              <w:ind w:left="2" w:right="0" w:firstLine="0"/>
              <w:jc w:val="center"/>
            </w:pPr>
            <w:r>
              <w:t xml:space="preserve">(0.40) </w:t>
            </w:r>
          </w:p>
        </w:tc>
      </w:tr>
      <w:tr w:rsidR="009C7506" w14:paraId="7F33C66F" w14:textId="77777777">
        <w:trPr>
          <w:trHeight w:val="480"/>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688CE415" w14:textId="77777777" w:rsidR="009C7506" w:rsidRDefault="008B3AB3">
            <w:pPr>
              <w:spacing w:after="0" w:line="259" w:lineRule="auto"/>
              <w:ind w:left="2" w:right="0" w:firstLine="0"/>
              <w:jc w:val="center"/>
            </w:pPr>
            <w:r>
              <w:rPr>
                <w:i/>
              </w:rPr>
              <w:t>TotalSize</w:t>
            </w:r>
            <w:r>
              <w:t xml:space="preserve"> </w:t>
            </w:r>
          </w:p>
        </w:tc>
        <w:tc>
          <w:tcPr>
            <w:tcW w:w="1995" w:type="dxa"/>
            <w:tcBorders>
              <w:top w:val="single" w:sz="4" w:space="0" w:color="000000"/>
              <w:left w:val="single" w:sz="4" w:space="0" w:color="000000"/>
              <w:bottom w:val="single" w:sz="4" w:space="0" w:color="000000"/>
              <w:right w:val="single" w:sz="4" w:space="0" w:color="000000"/>
            </w:tcBorders>
            <w:vAlign w:val="center"/>
          </w:tcPr>
          <w:p w14:paraId="0016F005" w14:textId="77777777" w:rsidR="009C7506" w:rsidRDefault="008B3AB3">
            <w:pPr>
              <w:spacing w:after="0" w:line="259" w:lineRule="auto"/>
              <w:ind w:left="0" w:right="7" w:firstLine="0"/>
              <w:jc w:val="center"/>
            </w:pPr>
            <w:r>
              <w:t xml:space="preserve">-0.0104 </w:t>
            </w:r>
          </w:p>
        </w:tc>
        <w:tc>
          <w:tcPr>
            <w:tcW w:w="1976" w:type="dxa"/>
            <w:tcBorders>
              <w:top w:val="single" w:sz="4" w:space="0" w:color="000000"/>
              <w:left w:val="single" w:sz="4" w:space="0" w:color="000000"/>
              <w:bottom w:val="single" w:sz="4" w:space="0" w:color="000000"/>
              <w:right w:val="single" w:sz="4" w:space="0" w:color="000000"/>
            </w:tcBorders>
            <w:vAlign w:val="center"/>
          </w:tcPr>
          <w:p w14:paraId="0B02A2FF" w14:textId="77777777" w:rsidR="009C7506" w:rsidRDefault="008B3AB3">
            <w:pPr>
              <w:spacing w:after="0" w:line="259" w:lineRule="auto"/>
              <w:ind w:left="0" w:right="2" w:firstLine="0"/>
              <w:jc w:val="center"/>
            </w:pPr>
            <w:r>
              <w:t xml:space="preserve">-0.00149 </w:t>
            </w:r>
          </w:p>
        </w:tc>
      </w:tr>
      <w:tr w:rsidR="009C7506" w14:paraId="1F288A77" w14:textId="77777777">
        <w:trPr>
          <w:trHeight w:val="478"/>
        </w:trPr>
        <w:tc>
          <w:tcPr>
            <w:tcW w:w="0" w:type="auto"/>
            <w:vMerge/>
            <w:tcBorders>
              <w:top w:val="nil"/>
              <w:left w:val="single" w:sz="4" w:space="0" w:color="000000"/>
              <w:bottom w:val="single" w:sz="4" w:space="0" w:color="000000"/>
              <w:right w:val="single" w:sz="4" w:space="0" w:color="000000"/>
            </w:tcBorders>
          </w:tcPr>
          <w:p w14:paraId="005087DC"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2C78A3D1" w14:textId="77777777" w:rsidR="009C7506" w:rsidRDefault="008B3AB3">
            <w:pPr>
              <w:spacing w:after="0" w:line="259" w:lineRule="auto"/>
              <w:ind w:left="0" w:right="3" w:firstLine="0"/>
              <w:jc w:val="center"/>
            </w:pPr>
            <w:r>
              <w:t xml:space="preserve">(-1.81) </w:t>
            </w:r>
          </w:p>
        </w:tc>
        <w:tc>
          <w:tcPr>
            <w:tcW w:w="1976" w:type="dxa"/>
            <w:tcBorders>
              <w:top w:val="single" w:sz="4" w:space="0" w:color="000000"/>
              <w:left w:val="single" w:sz="4" w:space="0" w:color="000000"/>
              <w:bottom w:val="single" w:sz="4" w:space="0" w:color="000000"/>
              <w:right w:val="single" w:sz="4" w:space="0" w:color="000000"/>
            </w:tcBorders>
            <w:vAlign w:val="center"/>
          </w:tcPr>
          <w:p w14:paraId="2B3158CD" w14:textId="77777777" w:rsidR="009C7506" w:rsidRDefault="008B3AB3">
            <w:pPr>
              <w:spacing w:after="0" w:line="259" w:lineRule="auto"/>
              <w:ind w:left="0" w:right="3" w:firstLine="0"/>
              <w:jc w:val="center"/>
            </w:pPr>
            <w:r>
              <w:t xml:space="preserve">(-0.13) </w:t>
            </w:r>
          </w:p>
        </w:tc>
      </w:tr>
      <w:tr w:rsidR="009C7506" w14:paraId="5F57F89E"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7154B079" w14:textId="77777777" w:rsidR="009C7506" w:rsidRDefault="008B3AB3">
            <w:pPr>
              <w:spacing w:after="0" w:line="259" w:lineRule="auto"/>
              <w:ind w:left="4" w:right="0" w:firstLine="0"/>
              <w:jc w:val="center"/>
            </w:pPr>
            <w:r>
              <w:rPr>
                <w:i/>
              </w:rPr>
              <w:t>Size</w:t>
            </w:r>
            <w:r>
              <w:t xml:space="preserve"> </w:t>
            </w:r>
          </w:p>
        </w:tc>
        <w:tc>
          <w:tcPr>
            <w:tcW w:w="1995" w:type="dxa"/>
            <w:tcBorders>
              <w:top w:val="single" w:sz="4" w:space="0" w:color="000000"/>
              <w:left w:val="single" w:sz="4" w:space="0" w:color="000000"/>
              <w:bottom w:val="single" w:sz="4" w:space="0" w:color="000000"/>
              <w:right w:val="single" w:sz="4" w:space="0" w:color="000000"/>
            </w:tcBorders>
            <w:vAlign w:val="center"/>
          </w:tcPr>
          <w:p w14:paraId="59030977" w14:textId="77777777" w:rsidR="009C7506" w:rsidRDefault="008B3AB3">
            <w:pPr>
              <w:spacing w:after="0" w:line="259" w:lineRule="auto"/>
              <w:ind w:left="0" w:right="4" w:firstLine="0"/>
              <w:jc w:val="center"/>
            </w:pPr>
            <w:r>
              <w:t xml:space="preserve">-8.36e-13 </w:t>
            </w:r>
          </w:p>
        </w:tc>
        <w:tc>
          <w:tcPr>
            <w:tcW w:w="1976" w:type="dxa"/>
            <w:tcBorders>
              <w:top w:val="single" w:sz="4" w:space="0" w:color="000000"/>
              <w:left w:val="single" w:sz="4" w:space="0" w:color="000000"/>
              <w:bottom w:val="single" w:sz="4" w:space="0" w:color="000000"/>
              <w:right w:val="single" w:sz="4" w:space="0" w:color="000000"/>
            </w:tcBorders>
            <w:vAlign w:val="center"/>
          </w:tcPr>
          <w:p w14:paraId="648F0FA4" w14:textId="77777777" w:rsidR="009C7506" w:rsidRDefault="008B3AB3">
            <w:pPr>
              <w:spacing w:after="0" w:line="259" w:lineRule="auto"/>
              <w:ind w:left="0" w:right="4" w:firstLine="0"/>
              <w:jc w:val="center"/>
            </w:pPr>
            <w:r>
              <w:t xml:space="preserve">-5.91e-12 </w:t>
            </w:r>
          </w:p>
        </w:tc>
      </w:tr>
      <w:tr w:rsidR="009C7506" w14:paraId="7A2D4F3C" w14:textId="77777777">
        <w:trPr>
          <w:trHeight w:val="478"/>
        </w:trPr>
        <w:tc>
          <w:tcPr>
            <w:tcW w:w="0" w:type="auto"/>
            <w:vMerge/>
            <w:tcBorders>
              <w:top w:val="nil"/>
              <w:left w:val="single" w:sz="4" w:space="0" w:color="000000"/>
              <w:bottom w:val="single" w:sz="4" w:space="0" w:color="000000"/>
              <w:right w:val="single" w:sz="4" w:space="0" w:color="000000"/>
            </w:tcBorders>
          </w:tcPr>
          <w:p w14:paraId="4CE9B0C5"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3C2F5A92" w14:textId="77777777" w:rsidR="009C7506" w:rsidRDefault="008B3AB3">
            <w:pPr>
              <w:spacing w:after="0" w:line="259" w:lineRule="auto"/>
              <w:ind w:left="0" w:right="3" w:firstLine="0"/>
              <w:jc w:val="center"/>
            </w:pPr>
            <w:r>
              <w:t>(-</w:t>
            </w:r>
            <w:r>
              <w:t xml:space="preserve">0.40) </w:t>
            </w:r>
          </w:p>
        </w:tc>
        <w:tc>
          <w:tcPr>
            <w:tcW w:w="1976" w:type="dxa"/>
            <w:tcBorders>
              <w:top w:val="single" w:sz="4" w:space="0" w:color="000000"/>
              <w:left w:val="single" w:sz="4" w:space="0" w:color="000000"/>
              <w:bottom w:val="single" w:sz="4" w:space="0" w:color="000000"/>
              <w:right w:val="single" w:sz="4" w:space="0" w:color="000000"/>
            </w:tcBorders>
            <w:vAlign w:val="center"/>
          </w:tcPr>
          <w:p w14:paraId="7FB2672E" w14:textId="77777777" w:rsidR="009C7506" w:rsidRDefault="008B3AB3">
            <w:pPr>
              <w:spacing w:after="0" w:line="259" w:lineRule="auto"/>
              <w:ind w:left="0" w:right="3" w:firstLine="0"/>
              <w:jc w:val="center"/>
            </w:pPr>
            <w:r>
              <w:t xml:space="preserve">(-1.56) </w:t>
            </w:r>
          </w:p>
        </w:tc>
      </w:tr>
      <w:tr w:rsidR="009C7506" w14:paraId="35F12AB7"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3745B6FF" w14:textId="77777777" w:rsidR="009C7506" w:rsidRDefault="008B3AB3">
            <w:pPr>
              <w:spacing w:after="0" w:line="259" w:lineRule="auto"/>
              <w:ind w:left="0" w:right="0" w:firstLine="0"/>
              <w:jc w:val="center"/>
            </w:pPr>
            <w:r>
              <w:t xml:space="preserve">Short-term solvency factor </w:t>
            </w:r>
          </w:p>
        </w:tc>
        <w:tc>
          <w:tcPr>
            <w:tcW w:w="1995" w:type="dxa"/>
            <w:tcBorders>
              <w:top w:val="single" w:sz="4" w:space="0" w:color="000000"/>
              <w:left w:val="single" w:sz="4" w:space="0" w:color="000000"/>
              <w:bottom w:val="single" w:sz="4" w:space="0" w:color="000000"/>
              <w:right w:val="single" w:sz="4" w:space="0" w:color="000000"/>
            </w:tcBorders>
            <w:vAlign w:val="center"/>
          </w:tcPr>
          <w:p w14:paraId="088A1468" w14:textId="77777777" w:rsidR="009C7506" w:rsidRDefault="008B3AB3">
            <w:pPr>
              <w:spacing w:after="0" w:line="259" w:lineRule="auto"/>
              <w:ind w:left="0" w:right="7" w:firstLine="0"/>
              <w:jc w:val="center"/>
            </w:pPr>
            <w:r>
              <w:t xml:space="preserve">-1.090 </w:t>
            </w:r>
          </w:p>
        </w:tc>
        <w:tc>
          <w:tcPr>
            <w:tcW w:w="1976" w:type="dxa"/>
            <w:tcBorders>
              <w:top w:val="single" w:sz="4" w:space="0" w:color="000000"/>
              <w:left w:val="single" w:sz="4" w:space="0" w:color="000000"/>
              <w:bottom w:val="single" w:sz="4" w:space="0" w:color="000000"/>
              <w:right w:val="single" w:sz="4" w:space="0" w:color="000000"/>
            </w:tcBorders>
            <w:vAlign w:val="center"/>
          </w:tcPr>
          <w:p w14:paraId="343D7D00" w14:textId="77777777" w:rsidR="009C7506" w:rsidRDefault="008B3AB3">
            <w:pPr>
              <w:spacing w:after="0" w:line="259" w:lineRule="auto"/>
              <w:ind w:left="1" w:right="0" w:firstLine="0"/>
              <w:jc w:val="center"/>
            </w:pPr>
            <w:r>
              <w:t xml:space="preserve">0.175 </w:t>
            </w:r>
          </w:p>
        </w:tc>
      </w:tr>
      <w:tr w:rsidR="009C7506" w14:paraId="54418A32" w14:textId="77777777">
        <w:trPr>
          <w:trHeight w:val="478"/>
        </w:trPr>
        <w:tc>
          <w:tcPr>
            <w:tcW w:w="0" w:type="auto"/>
            <w:vMerge/>
            <w:tcBorders>
              <w:top w:val="nil"/>
              <w:left w:val="single" w:sz="4" w:space="0" w:color="000000"/>
              <w:bottom w:val="single" w:sz="4" w:space="0" w:color="000000"/>
              <w:right w:val="single" w:sz="4" w:space="0" w:color="000000"/>
            </w:tcBorders>
          </w:tcPr>
          <w:p w14:paraId="00006D6D"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2B7291E4" w14:textId="77777777" w:rsidR="009C7506" w:rsidRDefault="008B3AB3">
            <w:pPr>
              <w:spacing w:after="0" w:line="259" w:lineRule="auto"/>
              <w:ind w:left="0" w:right="3" w:firstLine="0"/>
              <w:jc w:val="center"/>
            </w:pPr>
            <w:r>
              <w:t xml:space="preserve">(-0.96) </w:t>
            </w:r>
          </w:p>
        </w:tc>
        <w:tc>
          <w:tcPr>
            <w:tcW w:w="1976" w:type="dxa"/>
            <w:tcBorders>
              <w:top w:val="single" w:sz="4" w:space="0" w:color="000000"/>
              <w:left w:val="single" w:sz="4" w:space="0" w:color="000000"/>
              <w:bottom w:val="single" w:sz="4" w:space="0" w:color="000000"/>
              <w:right w:val="single" w:sz="4" w:space="0" w:color="000000"/>
            </w:tcBorders>
            <w:vAlign w:val="center"/>
          </w:tcPr>
          <w:p w14:paraId="6553A082" w14:textId="77777777" w:rsidR="009C7506" w:rsidRDefault="008B3AB3">
            <w:pPr>
              <w:spacing w:after="0" w:line="259" w:lineRule="auto"/>
              <w:ind w:left="2" w:right="0" w:firstLine="0"/>
              <w:jc w:val="center"/>
            </w:pPr>
            <w:r>
              <w:t xml:space="preserve">(0.07) </w:t>
            </w:r>
          </w:p>
        </w:tc>
      </w:tr>
      <w:tr w:rsidR="009C7506" w14:paraId="4FAED694" w14:textId="77777777">
        <w:trPr>
          <w:trHeight w:val="480"/>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715F7A60" w14:textId="77777777" w:rsidR="009C7506" w:rsidRDefault="008B3AB3">
            <w:pPr>
              <w:spacing w:after="0" w:line="259" w:lineRule="auto"/>
              <w:ind w:left="0" w:right="0" w:firstLine="0"/>
              <w:jc w:val="center"/>
            </w:pPr>
            <w:r>
              <w:t xml:space="preserve">Long-term profitability factor </w:t>
            </w:r>
          </w:p>
        </w:tc>
        <w:tc>
          <w:tcPr>
            <w:tcW w:w="1995" w:type="dxa"/>
            <w:tcBorders>
              <w:top w:val="single" w:sz="4" w:space="0" w:color="000000"/>
              <w:left w:val="single" w:sz="4" w:space="0" w:color="000000"/>
              <w:bottom w:val="single" w:sz="4" w:space="0" w:color="000000"/>
              <w:right w:val="single" w:sz="4" w:space="0" w:color="000000"/>
            </w:tcBorders>
            <w:vAlign w:val="center"/>
          </w:tcPr>
          <w:p w14:paraId="76E6A963" w14:textId="77777777" w:rsidR="009C7506" w:rsidRDefault="008B3AB3">
            <w:pPr>
              <w:spacing w:after="0" w:line="259" w:lineRule="auto"/>
              <w:ind w:left="0" w:right="7" w:firstLine="0"/>
              <w:jc w:val="center"/>
            </w:pPr>
            <w:r>
              <w:t xml:space="preserve">-0.232 </w:t>
            </w:r>
          </w:p>
        </w:tc>
        <w:tc>
          <w:tcPr>
            <w:tcW w:w="1976" w:type="dxa"/>
            <w:tcBorders>
              <w:top w:val="single" w:sz="4" w:space="0" w:color="000000"/>
              <w:left w:val="single" w:sz="4" w:space="0" w:color="000000"/>
              <w:bottom w:val="single" w:sz="4" w:space="0" w:color="000000"/>
              <w:right w:val="single" w:sz="4" w:space="0" w:color="000000"/>
            </w:tcBorders>
            <w:vAlign w:val="center"/>
          </w:tcPr>
          <w:p w14:paraId="09FD2631" w14:textId="77777777" w:rsidR="009C7506" w:rsidRDefault="008B3AB3">
            <w:pPr>
              <w:spacing w:after="0" w:line="259" w:lineRule="auto"/>
              <w:ind w:left="0" w:right="2" w:firstLine="0"/>
              <w:jc w:val="center"/>
            </w:pPr>
            <w:r>
              <w:t>-3.496</w:t>
            </w:r>
            <w:r>
              <w:rPr>
                <w:vertAlign w:val="superscript"/>
              </w:rPr>
              <w:t>***</w:t>
            </w:r>
            <w:r>
              <w:t xml:space="preserve"> </w:t>
            </w:r>
          </w:p>
        </w:tc>
      </w:tr>
      <w:tr w:rsidR="009C7506" w14:paraId="0D4104EC" w14:textId="77777777">
        <w:trPr>
          <w:trHeight w:val="478"/>
        </w:trPr>
        <w:tc>
          <w:tcPr>
            <w:tcW w:w="0" w:type="auto"/>
            <w:vMerge/>
            <w:tcBorders>
              <w:top w:val="nil"/>
              <w:left w:val="single" w:sz="4" w:space="0" w:color="000000"/>
              <w:bottom w:val="single" w:sz="4" w:space="0" w:color="000000"/>
              <w:right w:val="single" w:sz="4" w:space="0" w:color="000000"/>
            </w:tcBorders>
          </w:tcPr>
          <w:p w14:paraId="016ACF20"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7998AC8E" w14:textId="77777777" w:rsidR="009C7506" w:rsidRDefault="008B3AB3">
            <w:pPr>
              <w:spacing w:after="0" w:line="259" w:lineRule="auto"/>
              <w:ind w:left="0" w:right="3" w:firstLine="0"/>
              <w:jc w:val="center"/>
            </w:pPr>
            <w:r>
              <w:t xml:space="preserve">(-0.50) </w:t>
            </w:r>
          </w:p>
        </w:tc>
        <w:tc>
          <w:tcPr>
            <w:tcW w:w="1976" w:type="dxa"/>
            <w:tcBorders>
              <w:top w:val="single" w:sz="4" w:space="0" w:color="000000"/>
              <w:left w:val="single" w:sz="4" w:space="0" w:color="000000"/>
              <w:bottom w:val="single" w:sz="4" w:space="0" w:color="000000"/>
              <w:right w:val="single" w:sz="4" w:space="0" w:color="000000"/>
            </w:tcBorders>
            <w:vAlign w:val="center"/>
          </w:tcPr>
          <w:p w14:paraId="7120AAB0" w14:textId="77777777" w:rsidR="009C7506" w:rsidRDefault="008B3AB3">
            <w:pPr>
              <w:spacing w:after="0" w:line="259" w:lineRule="auto"/>
              <w:ind w:left="0" w:right="3" w:firstLine="0"/>
              <w:jc w:val="center"/>
            </w:pPr>
            <w:r>
              <w:t xml:space="preserve">(-3.59) </w:t>
            </w:r>
          </w:p>
        </w:tc>
      </w:tr>
      <w:tr w:rsidR="009C7506" w14:paraId="4801E063"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12668344" w14:textId="77777777" w:rsidR="009C7506" w:rsidRDefault="008B3AB3">
            <w:pPr>
              <w:spacing w:after="0" w:line="259" w:lineRule="auto"/>
              <w:ind w:left="2" w:right="0" w:firstLine="0"/>
              <w:jc w:val="center"/>
            </w:pPr>
            <w:r>
              <w:t xml:space="preserve">Short -term profitability factor </w:t>
            </w:r>
          </w:p>
        </w:tc>
        <w:tc>
          <w:tcPr>
            <w:tcW w:w="1995" w:type="dxa"/>
            <w:tcBorders>
              <w:top w:val="single" w:sz="4" w:space="0" w:color="000000"/>
              <w:left w:val="single" w:sz="4" w:space="0" w:color="000000"/>
              <w:bottom w:val="single" w:sz="4" w:space="0" w:color="000000"/>
              <w:right w:val="single" w:sz="4" w:space="0" w:color="000000"/>
            </w:tcBorders>
            <w:vAlign w:val="center"/>
          </w:tcPr>
          <w:p w14:paraId="01C67DA8" w14:textId="77777777" w:rsidR="009C7506" w:rsidRDefault="008B3AB3">
            <w:pPr>
              <w:spacing w:after="0" w:line="259" w:lineRule="auto"/>
              <w:ind w:left="0" w:right="7" w:firstLine="0"/>
              <w:jc w:val="center"/>
            </w:pPr>
            <w:r>
              <w:t xml:space="preserve">-0.142 </w:t>
            </w:r>
          </w:p>
        </w:tc>
        <w:tc>
          <w:tcPr>
            <w:tcW w:w="1976" w:type="dxa"/>
            <w:tcBorders>
              <w:top w:val="single" w:sz="4" w:space="0" w:color="000000"/>
              <w:left w:val="single" w:sz="4" w:space="0" w:color="000000"/>
              <w:bottom w:val="single" w:sz="4" w:space="0" w:color="000000"/>
              <w:right w:val="single" w:sz="4" w:space="0" w:color="000000"/>
            </w:tcBorders>
            <w:vAlign w:val="center"/>
          </w:tcPr>
          <w:p w14:paraId="36CF411E" w14:textId="77777777" w:rsidR="009C7506" w:rsidRDefault="008B3AB3">
            <w:pPr>
              <w:spacing w:after="0" w:line="259" w:lineRule="auto"/>
              <w:ind w:left="0" w:right="2" w:firstLine="0"/>
              <w:jc w:val="center"/>
            </w:pPr>
            <w:r>
              <w:t xml:space="preserve">-0.552 </w:t>
            </w:r>
          </w:p>
        </w:tc>
      </w:tr>
      <w:tr w:rsidR="009C7506" w14:paraId="15616316" w14:textId="77777777">
        <w:trPr>
          <w:trHeight w:val="478"/>
        </w:trPr>
        <w:tc>
          <w:tcPr>
            <w:tcW w:w="0" w:type="auto"/>
            <w:vMerge/>
            <w:tcBorders>
              <w:top w:val="nil"/>
              <w:left w:val="single" w:sz="4" w:space="0" w:color="000000"/>
              <w:bottom w:val="single" w:sz="4" w:space="0" w:color="000000"/>
              <w:right w:val="single" w:sz="4" w:space="0" w:color="000000"/>
            </w:tcBorders>
          </w:tcPr>
          <w:p w14:paraId="0B0A0132"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19DC9CBB" w14:textId="77777777" w:rsidR="009C7506" w:rsidRDefault="008B3AB3">
            <w:pPr>
              <w:spacing w:after="0" w:line="259" w:lineRule="auto"/>
              <w:ind w:left="0" w:right="3" w:firstLine="0"/>
              <w:jc w:val="center"/>
            </w:pPr>
            <w:r>
              <w:t xml:space="preserve">(-1.11) </w:t>
            </w:r>
          </w:p>
        </w:tc>
        <w:tc>
          <w:tcPr>
            <w:tcW w:w="1976" w:type="dxa"/>
            <w:tcBorders>
              <w:top w:val="single" w:sz="4" w:space="0" w:color="000000"/>
              <w:left w:val="single" w:sz="4" w:space="0" w:color="000000"/>
              <w:bottom w:val="single" w:sz="4" w:space="0" w:color="000000"/>
              <w:right w:val="single" w:sz="4" w:space="0" w:color="000000"/>
            </w:tcBorders>
            <w:vAlign w:val="center"/>
          </w:tcPr>
          <w:p w14:paraId="3F7562F0" w14:textId="77777777" w:rsidR="009C7506" w:rsidRDefault="008B3AB3">
            <w:pPr>
              <w:spacing w:after="0" w:line="259" w:lineRule="auto"/>
              <w:ind w:left="0" w:right="3" w:firstLine="0"/>
              <w:jc w:val="center"/>
            </w:pPr>
            <w:r>
              <w:t xml:space="preserve">(-1.30) </w:t>
            </w:r>
          </w:p>
        </w:tc>
      </w:tr>
      <w:tr w:rsidR="009C7506" w14:paraId="14B3534D"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54230AEC" w14:textId="77777777" w:rsidR="009C7506" w:rsidRDefault="008B3AB3">
            <w:pPr>
              <w:spacing w:after="0" w:line="259" w:lineRule="auto"/>
              <w:ind w:left="3" w:right="0" w:firstLine="0"/>
              <w:jc w:val="center"/>
            </w:pPr>
            <w:r>
              <w:lastRenderedPageBreak/>
              <w:t xml:space="preserve">Liquidity capacity </w:t>
            </w:r>
          </w:p>
        </w:tc>
        <w:tc>
          <w:tcPr>
            <w:tcW w:w="1995" w:type="dxa"/>
            <w:tcBorders>
              <w:top w:val="single" w:sz="4" w:space="0" w:color="000000"/>
              <w:left w:val="single" w:sz="4" w:space="0" w:color="000000"/>
              <w:bottom w:val="single" w:sz="4" w:space="0" w:color="000000"/>
              <w:right w:val="single" w:sz="4" w:space="0" w:color="000000"/>
            </w:tcBorders>
            <w:vAlign w:val="center"/>
          </w:tcPr>
          <w:p w14:paraId="5F66E7F5" w14:textId="77777777" w:rsidR="009C7506" w:rsidRDefault="008B3AB3">
            <w:pPr>
              <w:spacing w:after="0" w:line="259" w:lineRule="auto"/>
              <w:ind w:left="0" w:right="0" w:firstLine="0"/>
              <w:jc w:val="center"/>
            </w:pPr>
            <w:r>
              <w:t xml:space="preserve">0.184 </w:t>
            </w:r>
          </w:p>
        </w:tc>
        <w:tc>
          <w:tcPr>
            <w:tcW w:w="1976" w:type="dxa"/>
            <w:tcBorders>
              <w:top w:val="single" w:sz="4" w:space="0" w:color="000000"/>
              <w:left w:val="single" w:sz="4" w:space="0" w:color="000000"/>
              <w:bottom w:val="single" w:sz="4" w:space="0" w:color="000000"/>
              <w:right w:val="single" w:sz="4" w:space="0" w:color="000000"/>
            </w:tcBorders>
            <w:vAlign w:val="center"/>
          </w:tcPr>
          <w:p w14:paraId="09DD953F" w14:textId="77777777" w:rsidR="009C7506" w:rsidRDefault="008B3AB3">
            <w:pPr>
              <w:spacing w:after="0" w:line="259" w:lineRule="auto"/>
              <w:ind w:left="0" w:right="2" w:firstLine="0"/>
              <w:jc w:val="center"/>
            </w:pPr>
            <w:r>
              <w:t xml:space="preserve">-0.0568 </w:t>
            </w:r>
          </w:p>
        </w:tc>
      </w:tr>
      <w:tr w:rsidR="009C7506" w14:paraId="0A94D543" w14:textId="77777777">
        <w:trPr>
          <w:trHeight w:val="480"/>
        </w:trPr>
        <w:tc>
          <w:tcPr>
            <w:tcW w:w="0" w:type="auto"/>
            <w:vMerge/>
            <w:tcBorders>
              <w:top w:val="nil"/>
              <w:left w:val="single" w:sz="4" w:space="0" w:color="000000"/>
              <w:bottom w:val="single" w:sz="4" w:space="0" w:color="000000"/>
              <w:right w:val="single" w:sz="4" w:space="0" w:color="000000"/>
            </w:tcBorders>
          </w:tcPr>
          <w:p w14:paraId="3E8F7A67"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21579B8F" w14:textId="77777777" w:rsidR="009C7506" w:rsidRDefault="008B3AB3">
            <w:pPr>
              <w:spacing w:after="0" w:line="259" w:lineRule="auto"/>
              <w:ind w:left="0" w:right="3" w:firstLine="0"/>
              <w:jc w:val="center"/>
            </w:pPr>
            <w:r>
              <w:t xml:space="preserve">(0.52) </w:t>
            </w:r>
          </w:p>
        </w:tc>
        <w:tc>
          <w:tcPr>
            <w:tcW w:w="1976" w:type="dxa"/>
            <w:tcBorders>
              <w:top w:val="single" w:sz="4" w:space="0" w:color="000000"/>
              <w:left w:val="single" w:sz="4" w:space="0" w:color="000000"/>
              <w:bottom w:val="single" w:sz="4" w:space="0" w:color="000000"/>
              <w:right w:val="single" w:sz="4" w:space="0" w:color="000000"/>
            </w:tcBorders>
            <w:vAlign w:val="center"/>
          </w:tcPr>
          <w:p w14:paraId="38F78422" w14:textId="77777777" w:rsidR="009C7506" w:rsidRDefault="008B3AB3">
            <w:pPr>
              <w:spacing w:after="0" w:line="259" w:lineRule="auto"/>
              <w:ind w:left="0" w:right="3" w:firstLine="0"/>
              <w:jc w:val="center"/>
            </w:pPr>
            <w:r>
              <w:t xml:space="preserve">(-0.10) </w:t>
            </w:r>
          </w:p>
        </w:tc>
      </w:tr>
      <w:tr w:rsidR="009C7506" w14:paraId="4923D275"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0AC614B4" w14:textId="77777777" w:rsidR="009C7506" w:rsidRDefault="008B3AB3">
            <w:pPr>
              <w:spacing w:after="0" w:line="259" w:lineRule="auto"/>
              <w:ind w:left="1" w:right="0" w:firstLine="0"/>
              <w:jc w:val="center"/>
            </w:pPr>
            <w:r>
              <w:t xml:space="preserve">Profitability </w:t>
            </w:r>
          </w:p>
        </w:tc>
        <w:tc>
          <w:tcPr>
            <w:tcW w:w="1995" w:type="dxa"/>
            <w:tcBorders>
              <w:top w:val="single" w:sz="4" w:space="0" w:color="000000"/>
              <w:left w:val="single" w:sz="4" w:space="0" w:color="000000"/>
              <w:bottom w:val="single" w:sz="4" w:space="0" w:color="000000"/>
              <w:right w:val="single" w:sz="4" w:space="0" w:color="000000"/>
            </w:tcBorders>
            <w:vAlign w:val="center"/>
          </w:tcPr>
          <w:p w14:paraId="6C14FB0E" w14:textId="77777777" w:rsidR="009C7506" w:rsidRDefault="008B3AB3">
            <w:pPr>
              <w:spacing w:after="0" w:line="259" w:lineRule="auto"/>
              <w:ind w:left="0" w:right="7" w:firstLine="0"/>
              <w:jc w:val="center"/>
            </w:pPr>
            <w:r>
              <w:t xml:space="preserve">-1.596 </w:t>
            </w:r>
          </w:p>
        </w:tc>
        <w:tc>
          <w:tcPr>
            <w:tcW w:w="1976" w:type="dxa"/>
            <w:tcBorders>
              <w:top w:val="single" w:sz="4" w:space="0" w:color="000000"/>
              <w:left w:val="single" w:sz="4" w:space="0" w:color="000000"/>
              <w:bottom w:val="single" w:sz="4" w:space="0" w:color="000000"/>
              <w:right w:val="single" w:sz="4" w:space="0" w:color="000000"/>
            </w:tcBorders>
            <w:vAlign w:val="center"/>
          </w:tcPr>
          <w:p w14:paraId="7BF034BB" w14:textId="77777777" w:rsidR="009C7506" w:rsidRDefault="008B3AB3">
            <w:pPr>
              <w:spacing w:after="0" w:line="259" w:lineRule="auto"/>
              <w:ind w:left="0" w:right="2" w:firstLine="0"/>
              <w:jc w:val="center"/>
            </w:pPr>
            <w:r>
              <w:t xml:space="preserve">-4.636 </w:t>
            </w:r>
          </w:p>
        </w:tc>
      </w:tr>
      <w:tr w:rsidR="009C7506" w14:paraId="3C82C19D" w14:textId="77777777">
        <w:trPr>
          <w:trHeight w:val="478"/>
        </w:trPr>
        <w:tc>
          <w:tcPr>
            <w:tcW w:w="0" w:type="auto"/>
            <w:vMerge/>
            <w:tcBorders>
              <w:top w:val="nil"/>
              <w:left w:val="single" w:sz="4" w:space="0" w:color="000000"/>
              <w:bottom w:val="single" w:sz="4" w:space="0" w:color="000000"/>
              <w:right w:val="single" w:sz="4" w:space="0" w:color="000000"/>
            </w:tcBorders>
          </w:tcPr>
          <w:p w14:paraId="7E4DBB53"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071863C7" w14:textId="77777777" w:rsidR="009C7506" w:rsidRDefault="008B3AB3">
            <w:pPr>
              <w:spacing w:after="0" w:line="259" w:lineRule="auto"/>
              <w:ind w:left="0" w:right="3" w:firstLine="0"/>
              <w:jc w:val="center"/>
            </w:pPr>
            <w:r>
              <w:t xml:space="preserve">(-0.74) </w:t>
            </w:r>
          </w:p>
        </w:tc>
        <w:tc>
          <w:tcPr>
            <w:tcW w:w="1976" w:type="dxa"/>
            <w:tcBorders>
              <w:top w:val="single" w:sz="4" w:space="0" w:color="000000"/>
              <w:left w:val="single" w:sz="4" w:space="0" w:color="000000"/>
              <w:bottom w:val="single" w:sz="4" w:space="0" w:color="000000"/>
              <w:right w:val="single" w:sz="4" w:space="0" w:color="000000"/>
            </w:tcBorders>
            <w:vAlign w:val="center"/>
          </w:tcPr>
          <w:p w14:paraId="4DB89040" w14:textId="77777777" w:rsidR="009C7506" w:rsidRDefault="008B3AB3">
            <w:pPr>
              <w:spacing w:after="0" w:line="259" w:lineRule="auto"/>
              <w:ind w:left="0" w:right="3" w:firstLine="0"/>
              <w:jc w:val="center"/>
            </w:pPr>
            <w:r>
              <w:t xml:space="preserve">(-1.19) </w:t>
            </w:r>
          </w:p>
        </w:tc>
      </w:tr>
      <w:tr w:rsidR="009C7506" w14:paraId="278A170F"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7F4A801E" w14:textId="77777777" w:rsidR="009C7506" w:rsidRDefault="008B3AB3">
            <w:pPr>
              <w:spacing w:after="0" w:line="259" w:lineRule="auto"/>
              <w:ind w:left="0" w:right="0" w:firstLine="0"/>
              <w:jc w:val="center"/>
            </w:pPr>
            <w:r>
              <w:t xml:space="preserve">Operational factors </w:t>
            </w:r>
          </w:p>
        </w:tc>
        <w:tc>
          <w:tcPr>
            <w:tcW w:w="1995" w:type="dxa"/>
            <w:tcBorders>
              <w:top w:val="single" w:sz="4" w:space="0" w:color="000000"/>
              <w:left w:val="single" w:sz="4" w:space="0" w:color="000000"/>
              <w:bottom w:val="single" w:sz="4" w:space="0" w:color="000000"/>
              <w:right w:val="single" w:sz="4" w:space="0" w:color="000000"/>
            </w:tcBorders>
            <w:vAlign w:val="center"/>
          </w:tcPr>
          <w:p w14:paraId="6822082A" w14:textId="77777777" w:rsidR="009C7506" w:rsidRDefault="008B3AB3">
            <w:pPr>
              <w:spacing w:after="0" w:line="259" w:lineRule="auto"/>
              <w:ind w:left="0" w:right="0" w:firstLine="0"/>
              <w:jc w:val="center"/>
            </w:pPr>
            <w:r>
              <w:t xml:space="preserve">0.359 </w:t>
            </w:r>
          </w:p>
        </w:tc>
        <w:tc>
          <w:tcPr>
            <w:tcW w:w="1976" w:type="dxa"/>
            <w:tcBorders>
              <w:top w:val="single" w:sz="4" w:space="0" w:color="000000"/>
              <w:left w:val="single" w:sz="4" w:space="0" w:color="000000"/>
              <w:bottom w:val="single" w:sz="4" w:space="0" w:color="000000"/>
              <w:right w:val="single" w:sz="4" w:space="0" w:color="000000"/>
            </w:tcBorders>
            <w:vAlign w:val="center"/>
          </w:tcPr>
          <w:p w14:paraId="7CA02A77" w14:textId="77777777" w:rsidR="009C7506" w:rsidRDefault="008B3AB3">
            <w:pPr>
              <w:spacing w:after="0" w:line="259" w:lineRule="auto"/>
              <w:ind w:left="0" w:right="2" w:firstLine="0"/>
              <w:jc w:val="center"/>
            </w:pPr>
            <w:r>
              <w:t xml:space="preserve">-1.817 </w:t>
            </w:r>
          </w:p>
        </w:tc>
      </w:tr>
      <w:tr w:rsidR="009C7506" w14:paraId="6A59449E" w14:textId="77777777">
        <w:trPr>
          <w:trHeight w:val="480"/>
        </w:trPr>
        <w:tc>
          <w:tcPr>
            <w:tcW w:w="0" w:type="auto"/>
            <w:vMerge/>
            <w:tcBorders>
              <w:top w:val="nil"/>
              <w:left w:val="single" w:sz="4" w:space="0" w:color="000000"/>
              <w:bottom w:val="single" w:sz="4" w:space="0" w:color="000000"/>
              <w:right w:val="single" w:sz="4" w:space="0" w:color="000000"/>
            </w:tcBorders>
          </w:tcPr>
          <w:p w14:paraId="77A36FCA"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54049450" w14:textId="77777777" w:rsidR="009C7506" w:rsidRDefault="008B3AB3">
            <w:pPr>
              <w:spacing w:after="0" w:line="259" w:lineRule="auto"/>
              <w:ind w:left="0" w:right="3" w:firstLine="0"/>
              <w:jc w:val="center"/>
            </w:pPr>
            <w:r>
              <w:t xml:space="preserve">(0.38) </w:t>
            </w:r>
          </w:p>
        </w:tc>
        <w:tc>
          <w:tcPr>
            <w:tcW w:w="1976" w:type="dxa"/>
            <w:tcBorders>
              <w:top w:val="single" w:sz="4" w:space="0" w:color="000000"/>
              <w:left w:val="single" w:sz="4" w:space="0" w:color="000000"/>
              <w:bottom w:val="single" w:sz="4" w:space="0" w:color="000000"/>
              <w:right w:val="single" w:sz="4" w:space="0" w:color="000000"/>
            </w:tcBorders>
            <w:vAlign w:val="center"/>
          </w:tcPr>
          <w:p w14:paraId="4EBAABAF" w14:textId="77777777" w:rsidR="009C7506" w:rsidRDefault="008B3AB3">
            <w:pPr>
              <w:spacing w:after="0" w:line="259" w:lineRule="auto"/>
              <w:ind w:left="0" w:right="3" w:firstLine="0"/>
              <w:jc w:val="center"/>
            </w:pPr>
            <w:r>
              <w:t xml:space="preserve">(-1.61) </w:t>
            </w:r>
          </w:p>
        </w:tc>
      </w:tr>
      <w:tr w:rsidR="009C7506" w14:paraId="135B8BE8"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7DAA5EC0" w14:textId="77777777" w:rsidR="009C7506" w:rsidRDefault="008B3AB3">
            <w:pPr>
              <w:spacing w:after="0" w:line="259" w:lineRule="auto"/>
              <w:ind w:left="4" w:right="0" w:firstLine="0"/>
              <w:jc w:val="center"/>
            </w:pPr>
            <w:r>
              <w:rPr>
                <w:i/>
              </w:rPr>
              <w:t>GDP</w:t>
            </w:r>
            <w:r>
              <w:t xml:space="preserve"> </w:t>
            </w:r>
          </w:p>
        </w:tc>
        <w:tc>
          <w:tcPr>
            <w:tcW w:w="1995" w:type="dxa"/>
            <w:tcBorders>
              <w:top w:val="single" w:sz="4" w:space="0" w:color="000000"/>
              <w:left w:val="single" w:sz="4" w:space="0" w:color="000000"/>
              <w:bottom w:val="single" w:sz="4" w:space="0" w:color="000000"/>
              <w:right w:val="single" w:sz="4" w:space="0" w:color="000000"/>
            </w:tcBorders>
            <w:vAlign w:val="center"/>
          </w:tcPr>
          <w:p w14:paraId="0C01E789" w14:textId="77777777" w:rsidR="009C7506" w:rsidRDefault="008B3AB3">
            <w:pPr>
              <w:spacing w:after="0" w:line="259" w:lineRule="auto"/>
              <w:ind w:left="0" w:right="4" w:firstLine="0"/>
              <w:jc w:val="center"/>
            </w:pPr>
            <w:r>
              <w:t xml:space="preserve">4.75e-11 </w:t>
            </w:r>
          </w:p>
        </w:tc>
        <w:tc>
          <w:tcPr>
            <w:tcW w:w="1976" w:type="dxa"/>
            <w:tcBorders>
              <w:top w:val="single" w:sz="4" w:space="0" w:color="000000"/>
              <w:left w:val="single" w:sz="4" w:space="0" w:color="000000"/>
              <w:bottom w:val="single" w:sz="4" w:space="0" w:color="000000"/>
              <w:right w:val="single" w:sz="4" w:space="0" w:color="000000"/>
            </w:tcBorders>
            <w:vAlign w:val="center"/>
          </w:tcPr>
          <w:p w14:paraId="401C28F1" w14:textId="77777777" w:rsidR="009C7506" w:rsidRDefault="008B3AB3">
            <w:pPr>
              <w:spacing w:after="0" w:line="259" w:lineRule="auto"/>
              <w:ind w:left="0" w:right="4" w:firstLine="0"/>
              <w:jc w:val="center"/>
            </w:pPr>
            <w:r>
              <w:t xml:space="preserve">-1.03e-09 </w:t>
            </w:r>
          </w:p>
        </w:tc>
      </w:tr>
      <w:tr w:rsidR="009C7506" w14:paraId="0FB509F7" w14:textId="77777777">
        <w:trPr>
          <w:trHeight w:val="478"/>
        </w:trPr>
        <w:tc>
          <w:tcPr>
            <w:tcW w:w="0" w:type="auto"/>
            <w:vMerge/>
            <w:tcBorders>
              <w:top w:val="nil"/>
              <w:left w:val="single" w:sz="4" w:space="0" w:color="000000"/>
              <w:bottom w:val="single" w:sz="4" w:space="0" w:color="000000"/>
              <w:right w:val="single" w:sz="4" w:space="0" w:color="000000"/>
            </w:tcBorders>
          </w:tcPr>
          <w:p w14:paraId="3A12FB67"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05437A22" w14:textId="77777777" w:rsidR="009C7506" w:rsidRDefault="008B3AB3">
            <w:pPr>
              <w:spacing w:after="0" w:line="259" w:lineRule="auto"/>
              <w:ind w:left="0" w:right="3" w:firstLine="0"/>
              <w:jc w:val="center"/>
            </w:pPr>
            <w:r>
              <w:t xml:space="preserve">(0.05) </w:t>
            </w:r>
          </w:p>
        </w:tc>
        <w:tc>
          <w:tcPr>
            <w:tcW w:w="1976" w:type="dxa"/>
            <w:tcBorders>
              <w:top w:val="single" w:sz="4" w:space="0" w:color="000000"/>
              <w:left w:val="single" w:sz="4" w:space="0" w:color="000000"/>
              <w:bottom w:val="single" w:sz="4" w:space="0" w:color="000000"/>
              <w:right w:val="single" w:sz="4" w:space="0" w:color="000000"/>
            </w:tcBorders>
            <w:vAlign w:val="center"/>
          </w:tcPr>
          <w:p w14:paraId="08B12A6B" w14:textId="77777777" w:rsidR="009C7506" w:rsidRDefault="008B3AB3">
            <w:pPr>
              <w:spacing w:after="0" w:line="259" w:lineRule="auto"/>
              <w:ind w:left="0" w:right="3" w:firstLine="0"/>
              <w:jc w:val="center"/>
            </w:pPr>
            <w:r>
              <w:t xml:space="preserve">(-1.00) </w:t>
            </w:r>
          </w:p>
        </w:tc>
      </w:tr>
      <w:tr w:rsidR="009C7506" w14:paraId="18702A8E"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2F4BF9F6" w14:textId="77777777" w:rsidR="009C7506" w:rsidRDefault="008B3AB3">
            <w:pPr>
              <w:spacing w:after="0" w:line="259" w:lineRule="auto"/>
              <w:ind w:left="4" w:right="0" w:firstLine="0"/>
              <w:jc w:val="center"/>
            </w:pPr>
            <w:r>
              <w:rPr>
                <w:i/>
              </w:rPr>
              <w:t>LTD</w:t>
            </w:r>
            <w:r>
              <w:t xml:space="preserve"> </w:t>
            </w:r>
          </w:p>
        </w:tc>
        <w:tc>
          <w:tcPr>
            <w:tcW w:w="1995" w:type="dxa"/>
            <w:tcBorders>
              <w:top w:val="single" w:sz="4" w:space="0" w:color="000000"/>
              <w:left w:val="single" w:sz="4" w:space="0" w:color="000000"/>
              <w:bottom w:val="single" w:sz="4" w:space="0" w:color="000000"/>
              <w:right w:val="single" w:sz="4" w:space="0" w:color="000000"/>
            </w:tcBorders>
            <w:vAlign w:val="center"/>
          </w:tcPr>
          <w:p w14:paraId="10C112CF" w14:textId="77777777" w:rsidR="009C7506" w:rsidRDefault="008B3AB3">
            <w:pPr>
              <w:spacing w:after="0" w:line="259" w:lineRule="auto"/>
              <w:ind w:left="0" w:right="2" w:firstLine="0"/>
              <w:jc w:val="center"/>
            </w:pPr>
            <w:r>
              <w:t xml:space="preserve">-0.0000194 </w:t>
            </w:r>
          </w:p>
        </w:tc>
        <w:tc>
          <w:tcPr>
            <w:tcW w:w="1976" w:type="dxa"/>
            <w:tcBorders>
              <w:top w:val="single" w:sz="4" w:space="0" w:color="000000"/>
              <w:left w:val="single" w:sz="4" w:space="0" w:color="000000"/>
              <w:bottom w:val="single" w:sz="4" w:space="0" w:color="000000"/>
              <w:right w:val="single" w:sz="4" w:space="0" w:color="000000"/>
            </w:tcBorders>
            <w:vAlign w:val="center"/>
          </w:tcPr>
          <w:p w14:paraId="59FB4AC4" w14:textId="77777777" w:rsidR="009C7506" w:rsidRDefault="008B3AB3">
            <w:pPr>
              <w:spacing w:after="0" w:line="259" w:lineRule="auto"/>
              <w:ind w:left="0" w:right="2" w:firstLine="0"/>
              <w:jc w:val="center"/>
            </w:pPr>
            <w:r>
              <w:t xml:space="preserve">-0.00319 </w:t>
            </w:r>
          </w:p>
        </w:tc>
      </w:tr>
      <w:tr w:rsidR="009C7506" w14:paraId="79A9F50F" w14:textId="77777777">
        <w:trPr>
          <w:trHeight w:val="478"/>
        </w:trPr>
        <w:tc>
          <w:tcPr>
            <w:tcW w:w="0" w:type="auto"/>
            <w:vMerge/>
            <w:tcBorders>
              <w:top w:val="nil"/>
              <w:left w:val="single" w:sz="4" w:space="0" w:color="000000"/>
              <w:bottom w:val="single" w:sz="4" w:space="0" w:color="000000"/>
              <w:right w:val="single" w:sz="4" w:space="0" w:color="000000"/>
            </w:tcBorders>
          </w:tcPr>
          <w:p w14:paraId="221D4BE6"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58F586E0" w14:textId="77777777" w:rsidR="009C7506" w:rsidRDefault="008B3AB3">
            <w:pPr>
              <w:spacing w:after="0" w:line="259" w:lineRule="auto"/>
              <w:ind w:left="0" w:right="3" w:firstLine="0"/>
              <w:jc w:val="center"/>
            </w:pPr>
            <w:r>
              <w:t xml:space="preserve">(-0.02) </w:t>
            </w:r>
          </w:p>
        </w:tc>
        <w:tc>
          <w:tcPr>
            <w:tcW w:w="1976" w:type="dxa"/>
            <w:tcBorders>
              <w:top w:val="single" w:sz="4" w:space="0" w:color="000000"/>
              <w:left w:val="single" w:sz="4" w:space="0" w:color="000000"/>
              <w:bottom w:val="single" w:sz="4" w:space="0" w:color="000000"/>
              <w:right w:val="single" w:sz="4" w:space="0" w:color="000000"/>
            </w:tcBorders>
            <w:vAlign w:val="center"/>
          </w:tcPr>
          <w:p w14:paraId="5E4434C9" w14:textId="77777777" w:rsidR="009C7506" w:rsidRDefault="008B3AB3">
            <w:pPr>
              <w:spacing w:after="0" w:line="259" w:lineRule="auto"/>
              <w:ind w:left="0" w:right="3" w:firstLine="0"/>
              <w:jc w:val="center"/>
            </w:pPr>
            <w:r>
              <w:t>(-</w:t>
            </w:r>
            <w:r>
              <w:t xml:space="preserve">0.76) </w:t>
            </w:r>
          </w:p>
        </w:tc>
      </w:tr>
      <w:tr w:rsidR="009C7506" w14:paraId="40944862"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082B2BD3" w14:textId="77777777" w:rsidR="009C7506" w:rsidRDefault="008B3AB3">
            <w:pPr>
              <w:spacing w:after="0" w:line="259" w:lineRule="auto"/>
              <w:ind w:left="4" w:right="0" w:firstLine="0"/>
              <w:jc w:val="center"/>
            </w:pPr>
            <w:r>
              <w:t xml:space="preserve">Bond rating </w:t>
            </w:r>
          </w:p>
        </w:tc>
        <w:tc>
          <w:tcPr>
            <w:tcW w:w="1995" w:type="dxa"/>
            <w:tcBorders>
              <w:top w:val="single" w:sz="4" w:space="0" w:color="000000"/>
              <w:left w:val="single" w:sz="4" w:space="0" w:color="000000"/>
              <w:bottom w:val="single" w:sz="4" w:space="0" w:color="000000"/>
              <w:right w:val="single" w:sz="4" w:space="0" w:color="000000"/>
            </w:tcBorders>
            <w:vAlign w:val="center"/>
          </w:tcPr>
          <w:p w14:paraId="7B3CFC5D" w14:textId="77777777" w:rsidR="009C7506" w:rsidRDefault="008B3AB3">
            <w:pPr>
              <w:spacing w:after="0" w:line="259" w:lineRule="auto"/>
              <w:ind w:left="0" w:right="2" w:firstLine="0"/>
              <w:jc w:val="center"/>
            </w:pPr>
            <w:r>
              <w:t>-0.844</w:t>
            </w:r>
            <w:r>
              <w:rPr>
                <w:vertAlign w:val="superscript"/>
              </w:rPr>
              <w:t>***</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14:paraId="6DAA7D42" w14:textId="77777777" w:rsidR="009C7506" w:rsidRDefault="008B3AB3">
            <w:pPr>
              <w:spacing w:after="0" w:line="259" w:lineRule="auto"/>
              <w:ind w:left="0" w:right="2" w:firstLine="0"/>
              <w:jc w:val="center"/>
            </w:pPr>
            <w:r>
              <w:t xml:space="preserve">-0.257 </w:t>
            </w:r>
          </w:p>
        </w:tc>
      </w:tr>
      <w:tr w:rsidR="009C7506" w14:paraId="6C4B4BE9" w14:textId="77777777">
        <w:trPr>
          <w:trHeight w:val="480"/>
        </w:trPr>
        <w:tc>
          <w:tcPr>
            <w:tcW w:w="0" w:type="auto"/>
            <w:vMerge/>
            <w:tcBorders>
              <w:top w:val="nil"/>
              <w:left w:val="single" w:sz="4" w:space="0" w:color="000000"/>
              <w:bottom w:val="single" w:sz="4" w:space="0" w:color="000000"/>
              <w:right w:val="single" w:sz="4" w:space="0" w:color="000000"/>
            </w:tcBorders>
          </w:tcPr>
          <w:p w14:paraId="13A9B7BD"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70FA82DB" w14:textId="77777777" w:rsidR="009C7506" w:rsidRDefault="008B3AB3">
            <w:pPr>
              <w:spacing w:after="0" w:line="259" w:lineRule="auto"/>
              <w:ind w:left="0" w:right="3" w:firstLine="0"/>
              <w:jc w:val="center"/>
            </w:pPr>
            <w:r>
              <w:t xml:space="preserve">(-4.39) </w:t>
            </w:r>
          </w:p>
        </w:tc>
        <w:tc>
          <w:tcPr>
            <w:tcW w:w="1976" w:type="dxa"/>
            <w:tcBorders>
              <w:top w:val="single" w:sz="4" w:space="0" w:color="000000"/>
              <w:left w:val="single" w:sz="4" w:space="0" w:color="000000"/>
              <w:bottom w:val="single" w:sz="4" w:space="0" w:color="000000"/>
              <w:right w:val="single" w:sz="4" w:space="0" w:color="000000"/>
            </w:tcBorders>
            <w:vAlign w:val="center"/>
          </w:tcPr>
          <w:p w14:paraId="557B0A69" w14:textId="77777777" w:rsidR="009C7506" w:rsidRDefault="008B3AB3">
            <w:pPr>
              <w:spacing w:after="0" w:line="259" w:lineRule="auto"/>
              <w:ind w:left="0" w:right="3" w:firstLine="0"/>
              <w:jc w:val="center"/>
            </w:pPr>
            <w:r>
              <w:t xml:space="preserve">(-1.89) </w:t>
            </w:r>
          </w:p>
        </w:tc>
      </w:tr>
      <w:tr w:rsidR="009C7506" w14:paraId="1FA55E6B" w14:textId="77777777">
        <w:trPr>
          <w:trHeight w:val="1414"/>
        </w:trPr>
        <w:tc>
          <w:tcPr>
            <w:tcW w:w="3584" w:type="dxa"/>
            <w:tcBorders>
              <w:top w:val="single" w:sz="4" w:space="0" w:color="000000"/>
              <w:left w:val="single" w:sz="4" w:space="0" w:color="000000"/>
              <w:bottom w:val="single" w:sz="4" w:space="0" w:color="000000"/>
              <w:right w:val="single" w:sz="4" w:space="0" w:color="000000"/>
            </w:tcBorders>
            <w:vAlign w:val="center"/>
          </w:tcPr>
          <w:p w14:paraId="1FAC2DD2" w14:textId="77777777" w:rsidR="009C7506" w:rsidRDefault="008B3AB3">
            <w:pPr>
              <w:spacing w:after="0" w:line="439" w:lineRule="auto"/>
              <w:ind w:left="0" w:right="0" w:firstLine="0"/>
              <w:jc w:val="center"/>
            </w:pPr>
            <w:r>
              <w:t xml:space="preserve">Fixed effect of Province - industry - rating agencies and year  </w:t>
            </w:r>
          </w:p>
          <w:p w14:paraId="2B6694A7" w14:textId="77777777" w:rsidR="009C7506" w:rsidRDefault="008B3AB3">
            <w:pPr>
              <w:spacing w:after="0" w:line="259" w:lineRule="auto"/>
              <w:ind w:left="58" w:right="0" w:firstLine="0"/>
              <w:jc w:val="center"/>
            </w:pPr>
            <w:r>
              <w:t xml:space="preserve"> </w:t>
            </w:r>
          </w:p>
        </w:tc>
        <w:tc>
          <w:tcPr>
            <w:tcW w:w="1995" w:type="dxa"/>
            <w:tcBorders>
              <w:top w:val="single" w:sz="4" w:space="0" w:color="000000"/>
              <w:left w:val="single" w:sz="4" w:space="0" w:color="000000"/>
              <w:bottom w:val="single" w:sz="4" w:space="0" w:color="000000"/>
              <w:right w:val="single" w:sz="4" w:space="0" w:color="000000"/>
            </w:tcBorders>
            <w:vAlign w:val="center"/>
          </w:tcPr>
          <w:p w14:paraId="19618976" w14:textId="77777777" w:rsidR="009C7506" w:rsidRDefault="008B3AB3">
            <w:pPr>
              <w:spacing w:after="0" w:line="259" w:lineRule="auto"/>
              <w:ind w:left="0" w:right="0" w:firstLine="0"/>
              <w:jc w:val="center"/>
            </w:pPr>
            <w:r>
              <w:t xml:space="preserve">Controlled </w:t>
            </w:r>
          </w:p>
        </w:tc>
        <w:tc>
          <w:tcPr>
            <w:tcW w:w="1976" w:type="dxa"/>
            <w:tcBorders>
              <w:top w:val="single" w:sz="4" w:space="0" w:color="000000"/>
              <w:left w:val="single" w:sz="4" w:space="0" w:color="000000"/>
              <w:bottom w:val="single" w:sz="4" w:space="0" w:color="000000"/>
              <w:right w:val="single" w:sz="4" w:space="0" w:color="000000"/>
            </w:tcBorders>
            <w:vAlign w:val="center"/>
          </w:tcPr>
          <w:p w14:paraId="4DE32F96" w14:textId="77777777" w:rsidR="009C7506" w:rsidRDefault="008B3AB3">
            <w:pPr>
              <w:spacing w:after="0" w:line="259" w:lineRule="auto"/>
              <w:ind w:left="0" w:right="1" w:firstLine="0"/>
              <w:jc w:val="center"/>
            </w:pPr>
            <w:r>
              <w:t xml:space="preserve">Controlled </w:t>
            </w:r>
          </w:p>
        </w:tc>
      </w:tr>
      <w:tr w:rsidR="009C7506" w14:paraId="7B4CC12E" w14:textId="77777777">
        <w:trPr>
          <w:trHeight w:val="478"/>
        </w:trPr>
        <w:tc>
          <w:tcPr>
            <w:tcW w:w="3584" w:type="dxa"/>
            <w:vMerge w:val="restart"/>
            <w:tcBorders>
              <w:top w:val="single" w:sz="4" w:space="0" w:color="000000"/>
              <w:left w:val="single" w:sz="4" w:space="0" w:color="000000"/>
              <w:bottom w:val="single" w:sz="4" w:space="0" w:color="000000"/>
              <w:right w:val="single" w:sz="4" w:space="0" w:color="000000"/>
            </w:tcBorders>
            <w:vAlign w:val="center"/>
          </w:tcPr>
          <w:p w14:paraId="2623E8F1" w14:textId="77777777" w:rsidR="009C7506" w:rsidRDefault="008B3AB3">
            <w:pPr>
              <w:spacing w:after="0" w:line="259" w:lineRule="auto"/>
              <w:ind w:left="4" w:right="0" w:firstLine="0"/>
              <w:jc w:val="center"/>
            </w:pPr>
            <w:r>
              <w:t xml:space="preserve">Constant </w:t>
            </w:r>
          </w:p>
        </w:tc>
        <w:tc>
          <w:tcPr>
            <w:tcW w:w="1995" w:type="dxa"/>
            <w:tcBorders>
              <w:top w:val="single" w:sz="4" w:space="0" w:color="000000"/>
              <w:left w:val="single" w:sz="4" w:space="0" w:color="000000"/>
              <w:bottom w:val="single" w:sz="4" w:space="0" w:color="000000"/>
              <w:right w:val="single" w:sz="4" w:space="0" w:color="000000"/>
            </w:tcBorders>
            <w:vAlign w:val="center"/>
          </w:tcPr>
          <w:p w14:paraId="4AAC369F" w14:textId="77777777" w:rsidR="009C7506" w:rsidRDefault="008B3AB3">
            <w:pPr>
              <w:spacing w:after="0" w:line="259" w:lineRule="auto"/>
              <w:ind w:left="0" w:right="2" w:firstLine="0"/>
              <w:jc w:val="center"/>
            </w:pPr>
            <w:r>
              <w:t>7.308</w:t>
            </w:r>
            <w:r>
              <w:rPr>
                <w:vertAlign w:val="superscript"/>
              </w:rPr>
              <w:t>***</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14:paraId="4BB86021" w14:textId="77777777" w:rsidR="009C7506" w:rsidRDefault="008B3AB3">
            <w:pPr>
              <w:spacing w:after="0" w:line="259" w:lineRule="auto"/>
              <w:ind w:left="0" w:right="2" w:firstLine="0"/>
              <w:jc w:val="center"/>
            </w:pPr>
            <w:r>
              <w:t>4.941</w:t>
            </w:r>
            <w:r>
              <w:rPr>
                <w:vertAlign w:val="superscript"/>
              </w:rPr>
              <w:t>***</w:t>
            </w:r>
            <w:r>
              <w:t xml:space="preserve"> </w:t>
            </w:r>
          </w:p>
        </w:tc>
      </w:tr>
      <w:tr w:rsidR="009C7506" w14:paraId="36E510D5" w14:textId="77777777">
        <w:trPr>
          <w:trHeight w:val="478"/>
        </w:trPr>
        <w:tc>
          <w:tcPr>
            <w:tcW w:w="0" w:type="auto"/>
            <w:vMerge/>
            <w:tcBorders>
              <w:top w:val="nil"/>
              <w:left w:val="single" w:sz="4" w:space="0" w:color="000000"/>
              <w:bottom w:val="single" w:sz="4" w:space="0" w:color="000000"/>
              <w:right w:val="single" w:sz="4" w:space="0" w:color="000000"/>
            </w:tcBorders>
          </w:tcPr>
          <w:p w14:paraId="4A9BF0D4" w14:textId="77777777" w:rsidR="009C7506" w:rsidRDefault="009C7506">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vAlign w:val="center"/>
          </w:tcPr>
          <w:p w14:paraId="5B72DD3D" w14:textId="77777777" w:rsidR="009C7506" w:rsidRDefault="008B3AB3">
            <w:pPr>
              <w:spacing w:after="0" w:line="259" w:lineRule="auto"/>
              <w:ind w:left="0" w:right="3" w:firstLine="0"/>
              <w:jc w:val="center"/>
            </w:pPr>
            <w:r>
              <w:t xml:space="preserve">(6.60) </w:t>
            </w:r>
          </w:p>
        </w:tc>
        <w:tc>
          <w:tcPr>
            <w:tcW w:w="1976" w:type="dxa"/>
            <w:tcBorders>
              <w:top w:val="single" w:sz="4" w:space="0" w:color="000000"/>
              <w:left w:val="single" w:sz="4" w:space="0" w:color="000000"/>
              <w:bottom w:val="single" w:sz="4" w:space="0" w:color="000000"/>
              <w:right w:val="single" w:sz="4" w:space="0" w:color="000000"/>
            </w:tcBorders>
            <w:vAlign w:val="center"/>
          </w:tcPr>
          <w:p w14:paraId="609E6066" w14:textId="77777777" w:rsidR="009C7506" w:rsidRDefault="008B3AB3">
            <w:pPr>
              <w:spacing w:after="0" w:line="259" w:lineRule="auto"/>
              <w:ind w:left="2" w:right="0" w:firstLine="0"/>
              <w:jc w:val="center"/>
            </w:pPr>
            <w:r>
              <w:t xml:space="preserve">(8.12) </w:t>
            </w:r>
          </w:p>
        </w:tc>
      </w:tr>
      <w:tr w:rsidR="009C7506" w14:paraId="2D72494A" w14:textId="77777777">
        <w:trPr>
          <w:trHeight w:val="946"/>
        </w:trPr>
        <w:tc>
          <w:tcPr>
            <w:tcW w:w="3584" w:type="dxa"/>
            <w:tcBorders>
              <w:top w:val="single" w:sz="4" w:space="0" w:color="000000"/>
              <w:left w:val="single" w:sz="4" w:space="0" w:color="000000"/>
              <w:bottom w:val="single" w:sz="4" w:space="0" w:color="000000"/>
              <w:right w:val="single" w:sz="4" w:space="0" w:color="000000"/>
            </w:tcBorders>
            <w:vAlign w:val="center"/>
          </w:tcPr>
          <w:p w14:paraId="0CC384D0" w14:textId="77777777" w:rsidR="009C7506" w:rsidRDefault="008B3AB3">
            <w:pPr>
              <w:spacing w:after="0" w:line="259" w:lineRule="auto"/>
              <w:ind w:left="1018" w:right="963" w:firstLine="0"/>
              <w:jc w:val="center"/>
            </w:pPr>
            <w:r>
              <w:t>Sample volume</w:t>
            </w:r>
            <w:r>
              <w:rPr>
                <w:i/>
              </w:rPr>
              <w:t xml:space="preserve"> </w:t>
            </w:r>
          </w:p>
        </w:tc>
        <w:tc>
          <w:tcPr>
            <w:tcW w:w="1995" w:type="dxa"/>
            <w:tcBorders>
              <w:top w:val="single" w:sz="4" w:space="0" w:color="000000"/>
              <w:left w:val="single" w:sz="4" w:space="0" w:color="000000"/>
              <w:bottom w:val="single" w:sz="4" w:space="0" w:color="000000"/>
              <w:right w:val="single" w:sz="4" w:space="0" w:color="000000"/>
            </w:tcBorders>
            <w:vAlign w:val="center"/>
          </w:tcPr>
          <w:p w14:paraId="43CAD357" w14:textId="77777777" w:rsidR="009C7506" w:rsidRDefault="008B3AB3">
            <w:pPr>
              <w:spacing w:after="0" w:line="259" w:lineRule="auto"/>
              <w:ind w:left="0" w:right="2" w:firstLine="0"/>
              <w:jc w:val="center"/>
            </w:pPr>
            <w:r>
              <w:t xml:space="preserve">249 </w:t>
            </w:r>
          </w:p>
        </w:tc>
        <w:tc>
          <w:tcPr>
            <w:tcW w:w="1976" w:type="dxa"/>
            <w:tcBorders>
              <w:top w:val="single" w:sz="4" w:space="0" w:color="000000"/>
              <w:left w:val="single" w:sz="4" w:space="0" w:color="000000"/>
              <w:bottom w:val="single" w:sz="4" w:space="0" w:color="000000"/>
              <w:right w:val="single" w:sz="4" w:space="0" w:color="000000"/>
            </w:tcBorders>
            <w:vAlign w:val="center"/>
          </w:tcPr>
          <w:p w14:paraId="571A77C9" w14:textId="77777777" w:rsidR="009C7506" w:rsidRDefault="008B3AB3">
            <w:pPr>
              <w:spacing w:after="0" w:line="259" w:lineRule="auto"/>
              <w:ind w:left="0" w:right="2" w:firstLine="0"/>
              <w:jc w:val="center"/>
            </w:pPr>
            <w:r>
              <w:t xml:space="preserve">80 </w:t>
            </w:r>
          </w:p>
        </w:tc>
      </w:tr>
      <w:tr w:rsidR="009C7506" w14:paraId="1E9EC4D8" w14:textId="77777777">
        <w:trPr>
          <w:trHeight w:val="480"/>
        </w:trPr>
        <w:tc>
          <w:tcPr>
            <w:tcW w:w="3584" w:type="dxa"/>
            <w:tcBorders>
              <w:top w:val="single" w:sz="4" w:space="0" w:color="000000"/>
              <w:left w:val="single" w:sz="4" w:space="0" w:color="000000"/>
              <w:bottom w:val="single" w:sz="4" w:space="0" w:color="000000"/>
              <w:right w:val="single" w:sz="4" w:space="0" w:color="000000"/>
            </w:tcBorders>
            <w:vAlign w:val="center"/>
          </w:tcPr>
          <w:p w14:paraId="14726B9C" w14:textId="77777777" w:rsidR="009C7506" w:rsidRDefault="008B3AB3">
            <w:pPr>
              <w:spacing w:after="0" w:line="259" w:lineRule="auto"/>
              <w:ind w:left="2" w:right="0" w:firstLine="0"/>
              <w:jc w:val="center"/>
            </w:pPr>
            <w:r>
              <w:t xml:space="preserve">R-squared </w:t>
            </w:r>
          </w:p>
        </w:tc>
        <w:tc>
          <w:tcPr>
            <w:tcW w:w="1995" w:type="dxa"/>
            <w:tcBorders>
              <w:top w:val="single" w:sz="4" w:space="0" w:color="000000"/>
              <w:left w:val="single" w:sz="4" w:space="0" w:color="000000"/>
              <w:bottom w:val="single" w:sz="4" w:space="0" w:color="000000"/>
              <w:right w:val="single" w:sz="4" w:space="0" w:color="000000"/>
            </w:tcBorders>
            <w:vAlign w:val="center"/>
          </w:tcPr>
          <w:p w14:paraId="0496FD58" w14:textId="77777777" w:rsidR="009C7506" w:rsidRDefault="008B3AB3">
            <w:pPr>
              <w:spacing w:after="0" w:line="259" w:lineRule="auto"/>
              <w:ind w:left="0" w:right="0" w:firstLine="0"/>
              <w:jc w:val="center"/>
            </w:pPr>
            <w:r>
              <w:t xml:space="preserve">0.5700 </w:t>
            </w:r>
          </w:p>
        </w:tc>
        <w:tc>
          <w:tcPr>
            <w:tcW w:w="1976" w:type="dxa"/>
            <w:tcBorders>
              <w:top w:val="single" w:sz="4" w:space="0" w:color="000000"/>
              <w:left w:val="single" w:sz="4" w:space="0" w:color="000000"/>
              <w:bottom w:val="single" w:sz="4" w:space="0" w:color="000000"/>
              <w:right w:val="single" w:sz="4" w:space="0" w:color="000000"/>
            </w:tcBorders>
            <w:vAlign w:val="center"/>
          </w:tcPr>
          <w:p w14:paraId="2F81B8E4" w14:textId="77777777" w:rsidR="009C7506" w:rsidRDefault="008B3AB3">
            <w:pPr>
              <w:spacing w:after="0" w:line="259" w:lineRule="auto"/>
              <w:ind w:left="1" w:right="0" w:firstLine="0"/>
              <w:jc w:val="center"/>
            </w:pPr>
            <w:r>
              <w:t xml:space="preserve">0.8213 </w:t>
            </w:r>
          </w:p>
        </w:tc>
      </w:tr>
    </w:tbl>
    <w:p w14:paraId="4BF246EB" w14:textId="77777777" w:rsidR="009C7506" w:rsidRDefault="008B3AB3">
      <w:pPr>
        <w:ind w:left="21" w:right="45"/>
      </w:pPr>
      <w:r>
        <w:t xml:space="preserve">Note: using OLS regression; The value in the brackets is t value; </w:t>
      </w:r>
      <w:r>
        <w:t xml:space="preserve">* p &lt; 0.05, * * p &lt; 0.01, * * * p &lt; 0.001, represent significance at the 1% level, 5% level and 10% level respectively. </w:t>
      </w:r>
    </w:p>
    <w:p w14:paraId="289784E8" w14:textId="77777777" w:rsidR="009C7506" w:rsidRDefault="008B3AB3">
      <w:pPr>
        <w:spacing w:after="218" w:line="259" w:lineRule="auto"/>
        <w:ind w:left="0" w:right="0" w:firstLine="0"/>
        <w:jc w:val="left"/>
      </w:pPr>
      <w:r>
        <w:t xml:space="preserve"> </w:t>
      </w:r>
    </w:p>
    <w:p w14:paraId="57D28276" w14:textId="77777777" w:rsidR="009C7506" w:rsidRDefault="008B3AB3">
      <w:pPr>
        <w:pStyle w:val="Heading1"/>
        <w:ind w:left="370" w:right="419"/>
      </w:pPr>
      <w:r>
        <w:t xml:space="preserve">6. Conclusion  </w:t>
      </w:r>
    </w:p>
    <w:p w14:paraId="41E3BBF6" w14:textId="77777777" w:rsidR="009C7506" w:rsidRDefault="008B3AB3">
      <w:pPr>
        <w:spacing w:after="51" w:line="259" w:lineRule="auto"/>
        <w:ind w:left="0" w:right="0" w:firstLine="0"/>
        <w:jc w:val="left"/>
      </w:pPr>
      <w:r>
        <w:rPr>
          <w:sz w:val="21"/>
        </w:rPr>
        <w:t xml:space="preserve"> </w:t>
      </w:r>
    </w:p>
    <w:p w14:paraId="58AEB710" w14:textId="77777777" w:rsidR="009C7506" w:rsidRDefault="008B3AB3">
      <w:pPr>
        <w:ind w:left="21" w:right="45"/>
      </w:pPr>
      <w:r>
        <w:t>This paper uses the 2014 (first bond defaulted in this year) as the exogenous variables to depict the changing in g</w:t>
      </w:r>
      <w:r>
        <w:t>overnment intervention, and clarifies the "implicit guarantee” factors of corporate bonds mainly by the company properties and the bond underwriters’ background. We analyze changing of expectations before and after the first bond default occurred. This pap</w:t>
      </w:r>
      <w:r>
        <w:t xml:space="preserve">er creatively dissects the expectation of government intervention on two phases (includes "implicit guarantee"-before default occurred and "rigid payment" after default occurred), and focus on the evolution mechanism of the two kinds of expectations under </w:t>
      </w:r>
      <w:r>
        <w:t xml:space="preserve">the changing of </w:t>
      </w:r>
      <w:r>
        <w:lastRenderedPageBreak/>
        <w:t>government intervention. This paper selects 2008-2015 public corporate bonds of the listed companies as the research samples and selected the properties of issuers and the reputation and strength of the leading underwriters as the proxy var</w:t>
      </w:r>
      <w:r>
        <w:t>iables of “implicit guarantee” factors  under the government intervention changing. From 2008 to 2013, we find that the bond market was under strong government intervention. All participants in the market believed that there was no possibility of bond defa</w:t>
      </w:r>
      <w:r>
        <w:t>ult. Thus, the investors were nearly risk neutral, and the credit spreads had no reaction to its real risk premium level. While the rating agencies were motivated to give inflated credit ratings required by the underwriters. In addition, the "implicit guar</w:t>
      </w:r>
      <w:r>
        <w:t>antee" factors such as the possibility of local government rescue and the degree of local economic activity have significant impacts on the credit rating results. After 2014, the bond defaults send a signal of the intervention weakening, and the strong exp</w:t>
      </w:r>
      <w:r>
        <w:t>ectations on "implicit guarantee" is broken in the market. Meanwhile, the investors form a new expectation on "rigid payment" and give premiums for the “implicit guarantee” factors. We also find significant improvements in the rating quality since the cost</w:t>
      </w:r>
      <w:r>
        <w:t xml:space="preserve"> of the rating failure is elevated. The agencies are more cautious and fair, ignoring the influence of the underwriters. </w:t>
      </w:r>
    </w:p>
    <w:p w14:paraId="41B1D3D4" w14:textId="77777777" w:rsidR="009C7506" w:rsidRDefault="008B3AB3">
      <w:pPr>
        <w:spacing w:after="36" w:line="259" w:lineRule="auto"/>
        <w:ind w:left="0" w:right="0" w:firstLine="0"/>
        <w:jc w:val="left"/>
      </w:pPr>
      <w:r>
        <w:t xml:space="preserve"> </w:t>
      </w:r>
    </w:p>
    <w:p w14:paraId="5E183EE3" w14:textId="77777777" w:rsidR="009C7506" w:rsidRDefault="008B3AB3">
      <w:pPr>
        <w:ind w:left="21" w:right="45"/>
      </w:pPr>
      <w:r>
        <w:t>To sum up, the occurrence of default event shows the weakening of the government intervention on China’s bond market. The market participants gradually realize the exogenous changes and respond heterogeneously. The risk awareness of the investors is improv</w:t>
      </w:r>
      <w:r>
        <w:t xml:space="preserve">ed, but the rationality is weakened by the distorted belief of “rigid payment”. As an important credit risk assessment agent, the risk awareness and the rationality of the rating agencies are both improved and it will play an important role in the process </w:t>
      </w:r>
      <w:r>
        <w:t xml:space="preserve">of marketization of the bond market. </w:t>
      </w:r>
    </w:p>
    <w:p w14:paraId="63316042" w14:textId="77777777" w:rsidR="009C7506" w:rsidRDefault="008B3AB3">
      <w:pPr>
        <w:spacing w:after="36" w:line="259" w:lineRule="auto"/>
        <w:ind w:left="0" w:right="0" w:firstLine="0"/>
        <w:jc w:val="left"/>
      </w:pPr>
      <w:r>
        <w:t xml:space="preserve"> </w:t>
      </w:r>
    </w:p>
    <w:p w14:paraId="78469CFD" w14:textId="77777777" w:rsidR="009C7506" w:rsidRDefault="008B3AB3">
      <w:pPr>
        <w:spacing w:after="36" w:line="259" w:lineRule="auto"/>
        <w:ind w:left="0" w:right="0" w:firstLine="0"/>
        <w:jc w:val="left"/>
      </w:pPr>
      <w:r>
        <w:t xml:space="preserve"> </w:t>
      </w:r>
    </w:p>
    <w:p w14:paraId="48018E05" w14:textId="77777777" w:rsidR="009C7506" w:rsidRDefault="008B3AB3">
      <w:pPr>
        <w:spacing w:after="36" w:line="259" w:lineRule="auto"/>
        <w:ind w:left="0" w:right="0" w:firstLine="0"/>
        <w:jc w:val="left"/>
      </w:pPr>
      <w:r>
        <w:t xml:space="preserve"> </w:t>
      </w:r>
    </w:p>
    <w:p w14:paraId="7EB2363F" w14:textId="77777777" w:rsidR="009C7506" w:rsidRDefault="008B3AB3">
      <w:pPr>
        <w:spacing w:after="36" w:line="259" w:lineRule="auto"/>
        <w:ind w:left="0" w:right="0" w:firstLine="0"/>
        <w:jc w:val="left"/>
      </w:pPr>
      <w:r>
        <w:t xml:space="preserve"> </w:t>
      </w:r>
    </w:p>
    <w:p w14:paraId="15D80653" w14:textId="77777777" w:rsidR="009C7506" w:rsidRDefault="008B3AB3">
      <w:pPr>
        <w:spacing w:after="36" w:line="259" w:lineRule="auto"/>
        <w:ind w:left="0" w:right="0" w:firstLine="0"/>
        <w:jc w:val="left"/>
      </w:pPr>
      <w:r>
        <w:t xml:space="preserve"> </w:t>
      </w:r>
    </w:p>
    <w:p w14:paraId="1B776650" w14:textId="77777777" w:rsidR="009C7506" w:rsidRDefault="008B3AB3">
      <w:pPr>
        <w:spacing w:after="36" w:line="259" w:lineRule="auto"/>
        <w:ind w:left="0" w:right="0" w:firstLine="0"/>
        <w:jc w:val="left"/>
      </w:pPr>
      <w:r>
        <w:t xml:space="preserve"> </w:t>
      </w:r>
    </w:p>
    <w:p w14:paraId="4E9CBB77" w14:textId="77777777" w:rsidR="009C7506" w:rsidRDefault="008B3AB3">
      <w:pPr>
        <w:spacing w:after="36" w:line="259" w:lineRule="auto"/>
        <w:ind w:left="0" w:right="0" w:firstLine="0"/>
        <w:jc w:val="left"/>
      </w:pPr>
      <w:r>
        <w:t xml:space="preserve"> </w:t>
      </w:r>
    </w:p>
    <w:p w14:paraId="6DD0AB1B" w14:textId="77777777" w:rsidR="009C7506" w:rsidRDefault="008B3AB3">
      <w:pPr>
        <w:spacing w:after="36" w:line="259" w:lineRule="auto"/>
        <w:ind w:left="0" w:right="0" w:firstLine="0"/>
        <w:jc w:val="left"/>
      </w:pPr>
      <w:r>
        <w:t xml:space="preserve"> </w:t>
      </w:r>
    </w:p>
    <w:p w14:paraId="794113B4" w14:textId="77777777" w:rsidR="009C7506" w:rsidRDefault="008B3AB3">
      <w:pPr>
        <w:spacing w:after="36" w:line="259" w:lineRule="auto"/>
        <w:ind w:left="0" w:right="0" w:firstLine="0"/>
        <w:jc w:val="left"/>
      </w:pPr>
      <w:r>
        <w:t xml:space="preserve"> </w:t>
      </w:r>
    </w:p>
    <w:p w14:paraId="509DEBFB" w14:textId="77777777" w:rsidR="009C7506" w:rsidRDefault="008B3AB3">
      <w:pPr>
        <w:spacing w:after="36" w:line="259" w:lineRule="auto"/>
        <w:ind w:left="0" w:right="0" w:firstLine="0"/>
        <w:jc w:val="left"/>
      </w:pPr>
      <w:r>
        <w:t xml:space="preserve"> </w:t>
      </w:r>
    </w:p>
    <w:p w14:paraId="5572E54F" w14:textId="77777777" w:rsidR="009C7506" w:rsidRDefault="008B3AB3">
      <w:pPr>
        <w:spacing w:after="36" w:line="259" w:lineRule="auto"/>
        <w:ind w:left="0" w:right="0" w:firstLine="0"/>
        <w:jc w:val="left"/>
      </w:pPr>
      <w:r>
        <w:t xml:space="preserve"> </w:t>
      </w:r>
    </w:p>
    <w:p w14:paraId="33D3DB78" w14:textId="77777777" w:rsidR="009C7506" w:rsidRDefault="008B3AB3">
      <w:pPr>
        <w:spacing w:after="36" w:line="259" w:lineRule="auto"/>
        <w:ind w:left="0" w:right="0" w:firstLine="0"/>
        <w:jc w:val="left"/>
      </w:pPr>
      <w:r>
        <w:t xml:space="preserve"> </w:t>
      </w:r>
    </w:p>
    <w:p w14:paraId="61976747" w14:textId="77777777" w:rsidR="009C7506" w:rsidRDefault="008B3AB3">
      <w:pPr>
        <w:spacing w:after="36" w:line="259" w:lineRule="auto"/>
        <w:ind w:left="0" w:right="0" w:firstLine="0"/>
        <w:jc w:val="left"/>
      </w:pPr>
      <w:r>
        <w:t xml:space="preserve"> </w:t>
      </w:r>
    </w:p>
    <w:p w14:paraId="08620316" w14:textId="77777777" w:rsidR="009C7506" w:rsidRDefault="008B3AB3">
      <w:pPr>
        <w:spacing w:after="36" w:line="259" w:lineRule="auto"/>
        <w:ind w:left="0" w:right="0" w:firstLine="0"/>
        <w:jc w:val="left"/>
      </w:pPr>
      <w:r>
        <w:t xml:space="preserve"> </w:t>
      </w:r>
    </w:p>
    <w:p w14:paraId="331D12DF" w14:textId="77777777" w:rsidR="009C7506" w:rsidRDefault="008B3AB3">
      <w:pPr>
        <w:spacing w:after="36" w:line="259" w:lineRule="auto"/>
        <w:ind w:left="0" w:right="0" w:firstLine="0"/>
        <w:jc w:val="left"/>
      </w:pPr>
      <w:r>
        <w:t xml:space="preserve"> </w:t>
      </w:r>
    </w:p>
    <w:p w14:paraId="7D69D178" w14:textId="77777777" w:rsidR="009C7506" w:rsidRDefault="008B3AB3">
      <w:pPr>
        <w:spacing w:after="36" w:line="259" w:lineRule="auto"/>
        <w:ind w:left="0" w:right="0" w:firstLine="0"/>
        <w:jc w:val="left"/>
      </w:pPr>
      <w:r>
        <w:t xml:space="preserve"> </w:t>
      </w:r>
    </w:p>
    <w:p w14:paraId="5F95EE57" w14:textId="77777777" w:rsidR="009C7506" w:rsidRDefault="008B3AB3">
      <w:pPr>
        <w:spacing w:after="36" w:line="259" w:lineRule="auto"/>
        <w:ind w:left="0" w:right="0" w:firstLine="0"/>
        <w:jc w:val="left"/>
      </w:pPr>
      <w:r>
        <w:t xml:space="preserve"> </w:t>
      </w:r>
    </w:p>
    <w:p w14:paraId="15E5624A" w14:textId="77777777" w:rsidR="009C7506" w:rsidRDefault="008B3AB3">
      <w:pPr>
        <w:spacing w:after="36" w:line="259" w:lineRule="auto"/>
        <w:ind w:left="0" w:right="0" w:firstLine="0"/>
        <w:jc w:val="left"/>
      </w:pPr>
      <w:r>
        <w:t xml:space="preserve"> </w:t>
      </w:r>
    </w:p>
    <w:p w14:paraId="1BF86CD4" w14:textId="77777777" w:rsidR="009C7506" w:rsidRDefault="008B3AB3">
      <w:pPr>
        <w:spacing w:after="36" w:line="259" w:lineRule="auto"/>
        <w:ind w:left="0" w:right="0" w:firstLine="0"/>
        <w:jc w:val="left"/>
      </w:pPr>
      <w:r>
        <w:t xml:space="preserve"> </w:t>
      </w:r>
    </w:p>
    <w:p w14:paraId="2473C07B" w14:textId="77777777" w:rsidR="009C7506" w:rsidRDefault="008B3AB3">
      <w:pPr>
        <w:spacing w:after="36" w:line="259" w:lineRule="auto"/>
        <w:ind w:left="0" w:right="0" w:firstLine="0"/>
        <w:jc w:val="left"/>
      </w:pPr>
      <w:r>
        <w:t xml:space="preserve"> </w:t>
      </w:r>
    </w:p>
    <w:p w14:paraId="07AC02C2" w14:textId="77777777" w:rsidR="009C7506" w:rsidRDefault="008B3AB3">
      <w:pPr>
        <w:spacing w:after="36" w:line="259" w:lineRule="auto"/>
        <w:ind w:left="0" w:right="0" w:firstLine="0"/>
        <w:jc w:val="left"/>
      </w:pPr>
      <w:r>
        <w:t xml:space="preserve"> </w:t>
      </w:r>
    </w:p>
    <w:p w14:paraId="6CF2784F" w14:textId="77777777" w:rsidR="009C7506" w:rsidRDefault="008B3AB3">
      <w:pPr>
        <w:spacing w:after="36" w:line="259" w:lineRule="auto"/>
        <w:ind w:left="0" w:right="0" w:firstLine="0"/>
        <w:jc w:val="left"/>
      </w:pPr>
      <w:r>
        <w:t xml:space="preserve"> </w:t>
      </w:r>
    </w:p>
    <w:p w14:paraId="2CFE5281" w14:textId="77777777" w:rsidR="009C7506" w:rsidRDefault="008B3AB3">
      <w:pPr>
        <w:spacing w:after="36" w:line="259" w:lineRule="auto"/>
        <w:ind w:left="0" w:right="0" w:firstLine="0"/>
        <w:jc w:val="left"/>
      </w:pPr>
      <w:r>
        <w:t xml:space="preserve"> </w:t>
      </w:r>
    </w:p>
    <w:p w14:paraId="33AFF69B" w14:textId="77777777" w:rsidR="009C7506" w:rsidRDefault="008B3AB3">
      <w:pPr>
        <w:spacing w:after="40" w:line="259" w:lineRule="auto"/>
        <w:ind w:left="0" w:right="0" w:firstLine="0"/>
        <w:jc w:val="left"/>
      </w:pPr>
      <w:r>
        <w:lastRenderedPageBreak/>
        <w:t xml:space="preserve"> </w:t>
      </w:r>
    </w:p>
    <w:p w14:paraId="009466B0" w14:textId="77777777" w:rsidR="009C7506" w:rsidRDefault="008B3AB3">
      <w:pPr>
        <w:spacing w:after="0" w:line="259" w:lineRule="auto"/>
        <w:ind w:left="0" w:right="0" w:firstLine="0"/>
        <w:jc w:val="left"/>
      </w:pPr>
      <w:r>
        <w:rPr>
          <w:b/>
        </w:rPr>
        <w:t xml:space="preserve"> </w:t>
      </w:r>
    </w:p>
    <w:p w14:paraId="58342143" w14:textId="77777777" w:rsidR="009C7506" w:rsidRDefault="008B3AB3">
      <w:pPr>
        <w:spacing w:after="95" w:line="259" w:lineRule="auto"/>
        <w:ind w:left="-5" w:right="0"/>
        <w:jc w:val="left"/>
      </w:pPr>
      <w:r>
        <w:rPr>
          <w:b/>
          <w:sz w:val="28"/>
        </w:rPr>
        <w:t xml:space="preserve">Reference  </w:t>
      </w:r>
    </w:p>
    <w:p w14:paraId="62ECF170" w14:textId="77777777" w:rsidR="009C7506" w:rsidRDefault="008B3AB3">
      <w:pPr>
        <w:spacing w:after="39" w:line="259" w:lineRule="auto"/>
        <w:ind w:left="0" w:right="0" w:firstLine="0"/>
        <w:jc w:val="left"/>
      </w:pPr>
      <w:r>
        <w:rPr>
          <w:b/>
        </w:rPr>
        <w:t xml:space="preserve"> </w:t>
      </w:r>
    </w:p>
    <w:p w14:paraId="36F742C9" w14:textId="77777777" w:rsidR="009C7506" w:rsidRDefault="008B3AB3">
      <w:pPr>
        <w:numPr>
          <w:ilvl w:val="0"/>
          <w:numId w:val="1"/>
        </w:numPr>
        <w:ind w:left="431" w:right="45" w:hanging="420"/>
      </w:pPr>
      <w:r>
        <w:t>Abad-Romero, P., &amp; Robles-</w:t>
      </w:r>
      <w:r>
        <w:t xml:space="preserve">Fernandez, M. D. (2006). Risk and return around bond rating changes: new evidence from the spanish stock market. </w:t>
      </w:r>
      <w:r>
        <w:rPr>
          <w:i/>
        </w:rPr>
        <w:t>Journal of Business Finance &amp; Accounting,</w:t>
      </w:r>
      <w:r>
        <w:t xml:space="preserve"> </w:t>
      </w:r>
      <w:r>
        <w:rPr>
          <w:i/>
        </w:rPr>
        <w:t>33</w:t>
      </w:r>
      <w:r>
        <w:t xml:space="preserve">(5-6), 885–908. </w:t>
      </w:r>
    </w:p>
    <w:p w14:paraId="46C9DE7A" w14:textId="77777777" w:rsidR="009C7506" w:rsidRDefault="008B3AB3">
      <w:pPr>
        <w:spacing w:after="43" w:line="259" w:lineRule="auto"/>
        <w:ind w:left="0" w:right="0" w:firstLine="0"/>
        <w:jc w:val="left"/>
      </w:pPr>
      <w:r>
        <w:t xml:space="preserve"> </w:t>
      </w:r>
    </w:p>
    <w:p w14:paraId="4968D6C5" w14:textId="77777777" w:rsidR="009C7506" w:rsidRDefault="008B3AB3">
      <w:pPr>
        <w:numPr>
          <w:ilvl w:val="0"/>
          <w:numId w:val="1"/>
        </w:numPr>
        <w:ind w:left="431" w:right="45" w:hanging="420"/>
      </w:pPr>
      <w:r>
        <w:t>Allen, F., Qian, J., &amp; Qian, M. (2005). Law, finance, and economic growth in Chi</w:t>
      </w:r>
      <w:r>
        <w:t xml:space="preserve">na.  </w:t>
      </w:r>
      <w:r>
        <w:rPr>
          <w:i/>
        </w:rPr>
        <w:t>Journal of Financial Economics,</w:t>
      </w:r>
      <w:r>
        <w:t xml:space="preserve"> </w:t>
      </w:r>
      <w:r>
        <w:rPr>
          <w:i/>
        </w:rPr>
        <w:t>77</w:t>
      </w:r>
      <w:r>
        <w:t xml:space="preserve">(1), 57-116. </w:t>
      </w:r>
    </w:p>
    <w:p w14:paraId="56042559" w14:textId="77777777" w:rsidR="009C7506" w:rsidRDefault="008B3AB3">
      <w:pPr>
        <w:spacing w:after="43" w:line="259" w:lineRule="auto"/>
        <w:ind w:left="439" w:right="0" w:firstLine="0"/>
        <w:jc w:val="left"/>
      </w:pPr>
      <w:r>
        <w:t xml:space="preserve"> </w:t>
      </w:r>
    </w:p>
    <w:p w14:paraId="7819A2BE" w14:textId="77777777" w:rsidR="009C7506" w:rsidRDefault="008B3AB3">
      <w:pPr>
        <w:numPr>
          <w:ilvl w:val="0"/>
          <w:numId w:val="1"/>
        </w:numPr>
        <w:ind w:left="431" w:right="45" w:hanging="420"/>
      </w:pPr>
      <w:r>
        <w:t xml:space="preserve">Altman, E. I. (1990). Setting the record straight on junk bonds: a review of the research on default rates and returns. </w:t>
      </w:r>
      <w:r>
        <w:rPr>
          <w:i/>
        </w:rPr>
        <w:t>Journal of Applied Corporate Finance,</w:t>
      </w:r>
      <w:r>
        <w:t xml:space="preserve"> </w:t>
      </w:r>
      <w:r>
        <w:rPr>
          <w:i/>
        </w:rPr>
        <w:t>3</w:t>
      </w:r>
      <w:r>
        <w:t xml:space="preserve">(2), 82–95. </w:t>
      </w:r>
    </w:p>
    <w:p w14:paraId="0A8543F2" w14:textId="77777777" w:rsidR="009C7506" w:rsidRDefault="008B3AB3">
      <w:pPr>
        <w:spacing w:after="43" w:line="259" w:lineRule="auto"/>
        <w:ind w:left="0" w:right="0" w:firstLine="0"/>
        <w:jc w:val="left"/>
      </w:pPr>
      <w:r>
        <w:t xml:space="preserve"> </w:t>
      </w:r>
    </w:p>
    <w:p w14:paraId="358C4433" w14:textId="77777777" w:rsidR="009C7506" w:rsidRDefault="008B3AB3">
      <w:pPr>
        <w:numPr>
          <w:ilvl w:val="0"/>
          <w:numId w:val="1"/>
        </w:numPr>
        <w:ind w:left="431" w:right="45" w:hanging="420"/>
      </w:pPr>
      <w:r>
        <w:t xml:space="preserve">Ang, J. S., Cole, R. A., &amp; </w:t>
      </w:r>
      <w:r>
        <w:t xml:space="preserve">Lin, J. W. (2000). Agency costs and ownership structure. </w:t>
      </w:r>
      <w:r>
        <w:rPr>
          <w:i/>
        </w:rPr>
        <w:t>The Journal of Finance,</w:t>
      </w:r>
      <w:r>
        <w:t xml:space="preserve"> </w:t>
      </w:r>
      <w:r>
        <w:rPr>
          <w:i/>
        </w:rPr>
        <w:t>55</w:t>
      </w:r>
      <w:r>
        <w:t xml:space="preserve">(1), 81-106. </w:t>
      </w:r>
    </w:p>
    <w:p w14:paraId="61213596" w14:textId="77777777" w:rsidR="009C7506" w:rsidRDefault="008B3AB3">
      <w:pPr>
        <w:spacing w:after="43" w:line="259" w:lineRule="auto"/>
        <w:ind w:left="0" w:right="0" w:firstLine="0"/>
        <w:jc w:val="left"/>
      </w:pPr>
      <w:r>
        <w:t xml:space="preserve"> </w:t>
      </w:r>
    </w:p>
    <w:p w14:paraId="5211AC42" w14:textId="77777777" w:rsidR="009C7506" w:rsidRDefault="008B3AB3">
      <w:pPr>
        <w:numPr>
          <w:ilvl w:val="0"/>
          <w:numId w:val="1"/>
        </w:numPr>
        <w:ind w:left="431" w:right="45" w:hanging="420"/>
      </w:pPr>
      <w:r>
        <w:t xml:space="preserve">Arellano, C. (2008). Default risk and income fluctuations in emerging economies. Mpra Paper, 98(3), 690-712.  </w:t>
      </w:r>
    </w:p>
    <w:p w14:paraId="0B0A47FB" w14:textId="77777777" w:rsidR="009C7506" w:rsidRDefault="008B3AB3">
      <w:pPr>
        <w:spacing w:after="43" w:line="259" w:lineRule="auto"/>
        <w:ind w:left="0" w:right="0" w:firstLine="0"/>
        <w:jc w:val="left"/>
      </w:pPr>
      <w:r>
        <w:t xml:space="preserve"> </w:t>
      </w:r>
    </w:p>
    <w:p w14:paraId="24782028" w14:textId="77777777" w:rsidR="009C7506" w:rsidRDefault="008B3AB3">
      <w:pPr>
        <w:numPr>
          <w:ilvl w:val="0"/>
          <w:numId w:val="1"/>
        </w:numPr>
        <w:ind w:left="431" w:right="45" w:hanging="420"/>
      </w:pPr>
      <w:r>
        <w:t xml:space="preserve">Ashcraft, A. B., Goldsmith-Pinkham, P., &amp; Vickery, J. I. (2010). Mbs ratings and the mortgage credit boom. </w:t>
      </w:r>
      <w:r>
        <w:rPr>
          <w:i/>
        </w:rPr>
        <w:t>Social Science Electronic Publishing</w:t>
      </w:r>
      <w:r>
        <w:rPr>
          <w:i/>
        </w:rPr>
        <w:t>,</w:t>
      </w:r>
      <w:r>
        <w:t xml:space="preserve"> </w:t>
      </w:r>
      <w:r>
        <w:rPr>
          <w:i/>
        </w:rPr>
        <w:t>2010-89s</w:t>
      </w:r>
      <w:r>
        <w:t xml:space="preserve">(449), 1-59. </w:t>
      </w:r>
    </w:p>
    <w:p w14:paraId="2F766C4F" w14:textId="77777777" w:rsidR="009C7506" w:rsidRDefault="008B3AB3">
      <w:pPr>
        <w:spacing w:after="43" w:line="259" w:lineRule="auto"/>
        <w:ind w:left="0" w:right="0" w:firstLine="0"/>
        <w:jc w:val="left"/>
      </w:pPr>
      <w:r>
        <w:t xml:space="preserve"> </w:t>
      </w:r>
    </w:p>
    <w:p w14:paraId="6D25DB01" w14:textId="77777777" w:rsidR="009C7506" w:rsidRDefault="008B3AB3">
      <w:pPr>
        <w:numPr>
          <w:ilvl w:val="0"/>
          <w:numId w:val="1"/>
        </w:numPr>
        <w:ind w:left="431" w:right="45" w:hanging="420"/>
      </w:pPr>
      <w:r>
        <w:t xml:space="preserve">Asonuma, T. (2012). Serial default and debt renegotiation. </w:t>
      </w:r>
      <w:r>
        <w:rPr>
          <w:i/>
        </w:rPr>
        <w:t>Ssrn Electronic Journal</w:t>
      </w:r>
      <w:r>
        <w:t xml:space="preserve">. </w:t>
      </w:r>
    </w:p>
    <w:p w14:paraId="604F9A11" w14:textId="77777777" w:rsidR="009C7506" w:rsidRDefault="008B3AB3">
      <w:pPr>
        <w:spacing w:after="43" w:line="259" w:lineRule="auto"/>
        <w:ind w:left="0" w:right="0" w:firstLine="0"/>
        <w:jc w:val="left"/>
      </w:pPr>
      <w:r>
        <w:t xml:space="preserve"> </w:t>
      </w:r>
    </w:p>
    <w:p w14:paraId="68D65CCF" w14:textId="77777777" w:rsidR="009C7506" w:rsidRDefault="008B3AB3">
      <w:pPr>
        <w:numPr>
          <w:ilvl w:val="0"/>
          <w:numId w:val="1"/>
        </w:numPr>
        <w:ind w:left="431" w:right="45" w:hanging="420"/>
      </w:pPr>
      <w:r>
        <w:t xml:space="preserve">Bolton, P., Freixas, X., &amp; Shapiro, J. (2012). The credit ratings game. </w:t>
      </w:r>
      <w:r>
        <w:rPr>
          <w:i/>
        </w:rPr>
        <w:t>The Journal of Finance,</w:t>
      </w:r>
      <w:r>
        <w:t xml:space="preserve"> </w:t>
      </w:r>
      <w:r>
        <w:rPr>
          <w:i/>
        </w:rPr>
        <w:t>67</w:t>
      </w:r>
      <w:r>
        <w:t xml:space="preserve">(1), 85-111. </w:t>
      </w:r>
    </w:p>
    <w:p w14:paraId="02B35ADA" w14:textId="77777777" w:rsidR="009C7506" w:rsidRDefault="008B3AB3">
      <w:pPr>
        <w:spacing w:after="43" w:line="259" w:lineRule="auto"/>
        <w:ind w:left="0" w:right="0" w:firstLine="0"/>
        <w:jc w:val="left"/>
      </w:pPr>
      <w:r>
        <w:t xml:space="preserve"> </w:t>
      </w:r>
    </w:p>
    <w:p w14:paraId="35B11505" w14:textId="77777777" w:rsidR="009C7506" w:rsidRDefault="008B3AB3">
      <w:pPr>
        <w:numPr>
          <w:ilvl w:val="0"/>
          <w:numId w:val="1"/>
        </w:numPr>
        <w:ind w:left="431" w:right="45" w:hanging="420"/>
      </w:pPr>
      <w:r>
        <w:t xml:space="preserve">Borisova, G., &amp; Megginson, W. L. (2011). Does government ownership affect the cost of debt? evidence from privatization. </w:t>
      </w:r>
      <w:r>
        <w:rPr>
          <w:i/>
        </w:rPr>
        <w:t>Review of Financial Studies,</w:t>
      </w:r>
      <w:r>
        <w:t xml:space="preserve"> </w:t>
      </w:r>
      <w:r>
        <w:rPr>
          <w:i/>
        </w:rPr>
        <w:t>24</w:t>
      </w:r>
      <w:r>
        <w:t xml:space="preserve">(8), 2693-2737. </w:t>
      </w:r>
    </w:p>
    <w:p w14:paraId="658020A8" w14:textId="77777777" w:rsidR="009C7506" w:rsidRDefault="008B3AB3">
      <w:pPr>
        <w:spacing w:after="43" w:line="259" w:lineRule="auto"/>
        <w:ind w:left="0" w:right="0" w:firstLine="0"/>
        <w:jc w:val="left"/>
      </w:pPr>
      <w:r>
        <w:t xml:space="preserve"> </w:t>
      </w:r>
    </w:p>
    <w:p w14:paraId="7F71B494" w14:textId="77777777" w:rsidR="009C7506" w:rsidRDefault="008B3AB3">
      <w:pPr>
        <w:numPr>
          <w:ilvl w:val="0"/>
          <w:numId w:val="1"/>
        </w:numPr>
        <w:ind w:left="431" w:right="45" w:hanging="420"/>
      </w:pPr>
      <w:r>
        <w:t>Carter, R., &amp; Manaster, S. (1990). Initial public offerings and underwriter reputatio</w:t>
      </w:r>
      <w:r>
        <w:t xml:space="preserve">n. </w:t>
      </w:r>
      <w:r>
        <w:rPr>
          <w:i/>
        </w:rPr>
        <w:t>The Journal of Finance, 45</w:t>
      </w:r>
      <w:r>
        <w:t xml:space="preserve">(4), 1045-1067. </w:t>
      </w:r>
    </w:p>
    <w:p w14:paraId="48299304" w14:textId="77777777" w:rsidR="009C7506" w:rsidRDefault="008B3AB3">
      <w:pPr>
        <w:spacing w:after="43" w:line="259" w:lineRule="auto"/>
        <w:ind w:left="0" w:right="0" w:firstLine="0"/>
        <w:jc w:val="left"/>
      </w:pPr>
      <w:r>
        <w:t xml:space="preserve"> </w:t>
      </w:r>
    </w:p>
    <w:p w14:paraId="7DF9E707" w14:textId="77777777" w:rsidR="009C7506" w:rsidRDefault="008B3AB3">
      <w:pPr>
        <w:numPr>
          <w:ilvl w:val="0"/>
          <w:numId w:val="1"/>
        </w:numPr>
        <w:ind w:left="431" w:right="45" w:hanging="420"/>
      </w:pPr>
      <w:r>
        <w:t>Lesmond, D. A. (2007). Corporate yield spreads and bond liquidity.</w:t>
      </w:r>
      <w:r>
        <w:rPr>
          <w:i/>
        </w:rPr>
        <w:t>Journal of Finance,</w:t>
      </w:r>
      <w:r>
        <w:t xml:space="preserve"> </w:t>
      </w:r>
      <w:r>
        <w:rPr>
          <w:i/>
        </w:rPr>
        <w:t>62</w:t>
      </w:r>
      <w:r>
        <w:t xml:space="preserve">(1), 119-149. </w:t>
      </w:r>
    </w:p>
    <w:p w14:paraId="7720EAEE" w14:textId="77777777" w:rsidR="009C7506" w:rsidRDefault="008B3AB3">
      <w:pPr>
        <w:spacing w:after="43" w:line="259" w:lineRule="auto"/>
        <w:ind w:left="0" w:right="0" w:firstLine="0"/>
        <w:jc w:val="left"/>
      </w:pPr>
      <w:r>
        <w:t xml:space="preserve"> </w:t>
      </w:r>
    </w:p>
    <w:p w14:paraId="44E1A22C" w14:textId="77777777" w:rsidR="009C7506" w:rsidRDefault="008B3AB3">
      <w:pPr>
        <w:numPr>
          <w:ilvl w:val="0"/>
          <w:numId w:val="1"/>
        </w:numPr>
        <w:ind w:left="431" w:right="45" w:hanging="420"/>
      </w:pPr>
      <w:r>
        <w:t xml:space="preserve">Chun, O. M., Dionne, G., &amp; François, P. (2014). Credit spread changes within switching regimes. </w:t>
      </w:r>
      <w:r>
        <w:rPr>
          <w:i/>
        </w:rPr>
        <w:t>Journal</w:t>
      </w:r>
      <w:r>
        <w:rPr>
          <w:i/>
        </w:rPr>
        <w:t xml:space="preserve"> of Banking &amp; Finance,</w:t>
      </w:r>
      <w:r>
        <w:t xml:space="preserve"> </w:t>
      </w:r>
      <w:r>
        <w:rPr>
          <w:i/>
        </w:rPr>
        <w:t>49</w:t>
      </w:r>
      <w:r>
        <w:t xml:space="preserve">(1), 41-55. </w:t>
      </w:r>
    </w:p>
    <w:p w14:paraId="1F17599D" w14:textId="77777777" w:rsidR="009C7506" w:rsidRDefault="008B3AB3">
      <w:pPr>
        <w:spacing w:after="43" w:line="259" w:lineRule="auto"/>
        <w:ind w:left="0" w:right="0" w:firstLine="0"/>
        <w:jc w:val="left"/>
      </w:pPr>
      <w:r>
        <w:t xml:space="preserve"> </w:t>
      </w:r>
    </w:p>
    <w:p w14:paraId="5DD59787" w14:textId="77777777" w:rsidR="009C7506" w:rsidRDefault="008B3AB3">
      <w:pPr>
        <w:numPr>
          <w:ilvl w:val="0"/>
          <w:numId w:val="1"/>
        </w:numPr>
        <w:ind w:left="431" w:right="45" w:hanging="420"/>
      </w:pPr>
      <w:r>
        <w:t xml:space="preserve">Collin-Dufresn, P., Goldstein, R. S., &amp; Martin, J. S. (2001). The determinants of credit spread changes. </w:t>
      </w:r>
      <w:r>
        <w:rPr>
          <w:i/>
        </w:rPr>
        <w:t>Journal of Finance,</w:t>
      </w:r>
      <w:r>
        <w:t xml:space="preserve"> </w:t>
      </w:r>
      <w:r>
        <w:rPr>
          <w:i/>
        </w:rPr>
        <w:t>56</w:t>
      </w:r>
      <w:r>
        <w:t xml:space="preserve">(6), 2177-2207. </w:t>
      </w:r>
    </w:p>
    <w:p w14:paraId="6622F86C" w14:textId="77777777" w:rsidR="009C7506" w:rsidRDefault="008B3AB3">
      <w:pPr>
        <w:spacing w:after="43" w:line="259" w:lineRule="auto"/>
        <w:ind w:left="0" w:right="0" w:firstLine="0"/>
        <w:jc w:val="left"/>
      </w:pPr>
      <w:r>
        <w:t xml:space="preserve"> </w:t>
      </w:r>
    </w:p>
    <w:p w14:paraId="66A13407" w14:textId="77777777" w:rsidR="009C7506" w:rsidRDefault="008B3AB3">
      <w:pPr>
        <w:numPr>
          <w:ilvl w:val="0"/>
          <w:numId w:val="1"/>
        </w:numPr>
        <w:spacing w:after="33"/>
        <w:ind w:left="431" w:right="45" w:hanging="420"/>
      </w:pPr>
      <w:r>
        <w:lastRenderedPageBreak/>
        <w:t>Cull, R., &amp; Xu, L. C. (2005). Institutions, ownership, and finance: th</w:t>
      </w:r>
      <w:r>
        <w:t xml:space="preserve">e determinants of profit reinvestment among chinese firms. </w:t>
      </w:r>
      <w:r>
        <w:rPr>
          <w:i/>
        </w:rPr>
        <w:t>Journal of Financial Economics,</w:t>
      </w:r>
      <w:r>
        <w:t xml:space="preserve"> </w:t>
      </w:r>
      <w:r>
        <w:rPr>
          <w:i/>
        </w:rPr>
        <w:t>77</w:t>
      </w:r>
      <w:r>
        <w:t xml:space="preserve">(1), 117-146. </w:t>
      </w:r>
    </w:p>
    <w:p w14:paraId="5155E6DB" w14:textId="77777777" w:rsidR="009C7506" w:rsidRDefault="008B3AB3">
      <w:pPr>
        <w:spacing w:after="43" w:line="259" w:lineRule="auto"/>
        <w:ind w:left="0" w:right="0" w:firstLine="0"/>
        <w:jc w:val="left"/>
      </w:pPr>
      <w:r>
        <w:t xml:space="preserve"> </w:t>
      </w:r>
    </w:p>
    <w:p w14:paraId="67863221" w14:textId="77777777" w:rsidR="009C7506" w:rsidRDefault="008B3AB3">
      <w:pPr>
        <w:numPr>
          <w:ilvl w:val="0"/>
          <w:numId w:val="1"/>
        </w:numPr>
        <w:ind w:left="431" w:right="45" w:hanging="420"/>
      </w:pPr>
      <w:r>
        <w:t xml:space="preserve">Ederington, L. H., Yawitz, J. B., &amp; Roberts, B. E. (1984). The informational content of bond ratings. </w:t>
      </w:r>
      <w:r>
        <w:rPr>
          <w:i/>
        </w:rPr>
        <w:t>Journal of Financial Research,10</w:t>
      </w:r>
      <w:r>
        <w:t>(1323), 211–</w:t>
      </w:r>
      <w:r>
        <w:t xml:space="preserve">226. </w:t>
      </w:r>
    </w:p>
    <w:p w14:paraId="223DFC46" w14:textId="77777777" w:rsidR="009C7506" w:rsidRDefault="008B3AB3">
      <w:pPr>
        <w:spacing w:after="43" w:line="259" w:lineRule="auto"/>
        <w:ind w:left="0" w:right="0" w:firstLine="0"/>
        <w:jc w:val="left"/>
      </w:pPr>
      <w:r>
        <w:t xml:space="preserve"> </w:t>
      </w:r>
    </w:p>
    <w:p w14:paraId="3F03CC91" w14:textId="77777777" w:rsidR="009C7506" w:rsidRDefault="008B3AB3">
      <w:pPr>
        <w:numPr>
          <w:ilvl w:val="0"/>
          <w:numId w:val="1"/>
        </w:numPr>
        <w:spacing w:after="33" w:line="259" w:lineRule="auto"/>
        <w:ind w:left="431" w:right="45" w:hanging="420"/>
      </w:pPr>
      <w:r>
        <w:t xml:space="preserve">Fisher, R. C. (2010). </w:t>
      </w:r>
      <w:r>
        <w:rPr>
          <w:i/>
        </w:rPr>
        <w:t>The state of state and local government finance</w:t>
      </w:r>
      <w:r>
        <w:t>.</w:t>
      </w:r>
      <w:r>
        <w:rPr>
          <w:i/>
        </w:rPr>
        <w:t>State and local government :</w:t>
      </w:r>
      <w:r>
        <w:t xml:space="preserve">. Random House. </w:t>
      </w:r>
    </w:p>
    <w:p w14:paraId="0FCBA6ED" w14:textId="77777777" w:rsidR="009C7506" w:rsidRDefault="008B3AB3">
      <w:pPr>
        <w:spacing w:after="43" w:line="259" w:lineRule="auto"/>
        <w:ind w:left="0" w:right="0" w:firstLine="0"/>
        <w:jc w:val="left"/>
      </w:pPr>
      <w:r>
        <w:t xml:space="preserve"> </w:t>
      </w:r>
    </w:p>
    <w:p w14:paraId="12CF9A2F" w14:textId="77777777" w:rsidR="009C7506" w:rsidRDefault="008B3AB3">
      <w:pPr>
        <w:numPr>
          <w:ilvl w:val="0"/>
          <w:numId w:val="1"/>
        </w:numPr>
        <w:ind w:left="431" w:right="45" w:hanging="420"/>
      </w:pPr>
      <w:r>
        <w:t>Fisman, R. (2001). Estimating the value of political connections.</w:t>
      </w:r>
      <w:r>
        <w:rPr>
          <w:i/>
        </w:rPr>
        <w:t>American Economic Review,</w:t>
      </w:r>
      <w:r>
        <w:t xml:space="preserve"> </w:t>
      </w:r>
      <w:r>
        <w:rPr>
          <w:i/>
        </w:rPr>
        <w:t>91</w:t>
      </w:r>
      <w:r>
        <w:t xml:space="preserve">(4), 1095-1102. </w:t>
      </w:r>
    </w:p>
    <w:p w14:paraId="415AA683" w14:textId="77777777" w:rsidR="009C7506" w:rsidRDefault="008B3AB3">
      <w:pPr>
        <w:spacing w:after="43" w:line="259" w:lineRule="auto"/>
        <w:ind w:left="0" w:right="0" w:firstLine="0"/>
        <w:jc w:val="left"/>
      </w:pPr>
      <w:r>
        <w:t xml:space="preserve"> </w:t>
      </w:r>
    </w:p>
    <w:p w14:paraId="4DB2B439" w14:textId="77777777" w:rsidR="009C7506" w:rsidRDefault="008B3AB3">
      <w:pPr>
        <w:numPr>
          <w:ilvl w:val="0"/>
          <w:numId w:val="1"/>
        </w:numPr>
        <w:ind w:left="431" w:right="45" w:hanging="420"/>
      </w:pPr>
      <w:r>
        <w:t>Gande, A., Puri, M.</w:t>
      </w:r>
      <w:r>
        <w:t xml:space="preserve">, Saunders, A., &amp; Walter, I. (1995). Bank underwriting of debt securities: modern evidence. </w:t>
      </w:r>
      <w:r>
        <w:rPr>
          <w:i/>
        </w:rPr>
        <w:t>Review of Financial Studies, 10</w:t>
      </w:r>
      <w:r>
        <w:t xml:space="preserve">(4), 1175-1202. </w:t>
      </w:r>
    </w:p>
    <w:p w14:paraId="5BB8D73B" w14:textId="77777777" w:rsidR="009C7506" w:rsidRDefault="008B3AB3">
      <w:pPr>
        <w:spacing w:after="43" w:line="259" w:lineRule="auto"/>
        <w:ind w:left="0" w:right="0" w:firstLine="0"/>
        <w:jc w:val="left"/>
      </w:pPr>
      <w:r>
        <w:t xml:space="preserve"> </w:t>
      </w:r>
    </w:p>
    <w:p w14:paraId="5D25DB2F" w14:textId="77777777" w:rsidR="009C7506" w:rsidRDefault="008B3AB3">
      <w:pPr>
        <w:numPr>
          <w:ilvl w:val="0"/>
          <w:numId w:val="1"/>
        </w:numPr>
        <w:ind w:left="431" w:right="45" w:hanging="420"/>
      </w:pPr>
      <w:r>
        <w:t xml:space="preserve">Gourio, F. (2009). Disaster risk and business cycles. </w:t>
      </w:r>
      <w:r>
        <w:rPr>
          <w:i/>
        </w:rPr>
        <w:t>Meeting Papers</w:t>
      </w:r>
      <w:r>
        <w:t xml:space="preserve">. Society for Economic Dynamics. </w:t>
      </w:r>
    </w:p>
    <w:p w14:paraId="1056715E" w14:textId="77777777" w:rsidR="009C7506" w:rsidRDefault="008B3AB3">
      <w:pPr>
        <w:spacing w:after="43" w:line="259" w:lineRule="auto"/>
        <w:ind w:left="0" w:right="0" w:firstLine="0"/>
        <w:jc w:val="left"/>
      </w:pPr>
      <w:r>
        <w:t xml:space="preserve"> </w:t>
      </w:r>
    </w:p>
    <w:p w14:paraId="5F47EE13" w14:textId="77777777" w:rsidR="009C7506" w:rsidRDefault="008B3AB3">
      <w:pPr>
        <w:numPr>
          <w:ilvl w:val="0"/>
          <w:numId w:val="1"/>
        </w:numPr>
        <w:ind w:left="431" w:right="45" w:hanging="420"/>
      </w:pPr>
      <w:r>
        <w:t xml:space="preserve">Griffin, P. A., &amp; Sanvicente, A. Z. (1982). Common stock returns and rating changes: a methodological comparison. </w:t>
      </w:r>
      <w:r>
        <w:rPr>
          <w:i/>
        </w:rPr>
        <w:t>The Journal of Finance,37</w:t>
      </w:r>
      <w:r>
        <w:t xml:space="preserve">(1), 103-119. </w:t>
      </w:r>
    </w:p>
    <w:p w14:paraId="65854151" w14:textId="77777777" w:rsidR="009C7506" w:rsidRDefault="008B3AB3">
      <w:pPr>
        <w:spacing w:after="43" w:line="259" w:lineRule="auto"/>
        <w:ind w:left="0" w:right="0" w:firstLine="0"/>
        <w:jc w:val="left"/>
      </w:pPr>
      <w:r>
        <w:t xml:space="preserve"> </w:t>
      </w:r>
    </w:p>
    <w:p w14:paraId="4427A847" w14:textId="77777777" w:rsidR="009C7506" w:rsidRDefault="008B3AB3">
      <w:pPr>
        <w:numPr>
          <w:ilvl w:val="0"/>
          <w:numId w:val="1"/>
        </w:numPr>
        <w:ind w:left="431" w:right="45" w:hanging="420"/>
      </w:pPr>
      <w:r>
        <w:t>Grossman, S. J., &amp; Stiglitz, J. E. (1980). Stockholder unanimity</w:t>
      </w:r>
      <w:r>
        <w:t xml:space="preserve"> in making production and financial decisions. </w:t>
      </w:r>
      <w:r>
        <w:rPr>
          <w:i/>
        </w:rPr>
        <w:t>Quarterly Journal of Economics,</w:t>
      </w:r>
      <w:r>
        <w:t xml:space="preserve"> </w:t>
      </w:r>
      <w:r>
        <w:rPr>
          <w:i/>
        </w:rPr>
        <w:t>94</w:t>
      </w:r>
      <w:r>
        <w:t xml:space="preserve">(3), 543-566. </w:t>
      </w:r>
    </w:p>
    <w:p w14:paraId="406F7C31" w14:textId="77777777" w:rsidR="009C7506" w:rsidRDefault="008B3AB3">
      <w:pPr>
        <w:spacing w:after="44" w:line="259" w:lineRule="auto"/>
        <w:ind w:left="0" w:right="0" w:firstLine="0"/>
        <w:jc w:val="left"/>
      </w:pPr>
      <w:r>
        <w:t xml:space="preserve"> </w:t>
      </w:r>
    </w:p>
    <w:p w14:paraId="0FFC39D2" w14:textId="77777777" w:rsidR="009C7506" w:rsidRDefault="008B3AB3">
      <w:pPr>
        <w:numPr>
          <w:ilvl w:val="0"/>
          <w:numId w:val="1"/>
        </w:numPr>
        <w:ind w:left="431" w:right="45" w:hanging="420"/>
      </w:pPr>
      <w:r>
        <w:t xml:space="preserve">Holthausen, R. W., &amp; Leftwich, R. W. (1986). The effect of bond rating changes on common stock prices. </w:t>
      </w:r>
      <w:r>
        <w:rPr>
          <w:i/>
        </w:rPr>
        <w:t>Journal of Financial Economics,17</w:t>
      </w:r>
      <w:r>
        <w:t xml:space="preserve">(1), 57-89. </w:t>
      </w:r>
    </w:p>
    <w:p w14:paraId="5A42F4D8" w14:textId="77777777" w:rsidR="009C7506" w:rsidRDefault="008B3AB3">
      <w:pPr>
        <w:spacing w:after="43" w:line="259" w:lineRule="auto"/>
        <w:ind w:left="0" w:right="0" w:firstLine="0"/>
        <w:jc w:val="left"/>
      </w:pPr>
      <w:r>
        <w:t xml:space="preserve"> </w:t>
      </w:r>
    </w:p>
    <w:p w14:paraId="55B7EE37" w14:textId="77777777" w:rsidR="009C7506" w:rsidRDefault="008B3AB3">
      <w:pPr>
        <w:numPr>
          <w:ilvl w:val="0"/>
          <w:numId w:val="1"/>
        </w:numPr>
        <w:ind w:left="431" w:right="45" w:hanging="420"/>
      </w:pPr>
      <w:r>
        <w:t xml:space="preserve">Huang, </w:t>
      </w:r>
      <w:r>
        <w:t xml:space="preserve">Y. L., &amp; Shen, C. H. (2015). The sovereign effect on bank credit ratings. </w:t>
      </w:r>
      <w:r>
        <w:rPr>
          <w:i/>
        </w:rPr>
        <w:t>Journal of Financial Services Research,</w:t>
      </w:r>
      <w:r>
        <w:t xml:space="preserve"> </w:t>
      </w:r>
      <w:r>
        <w:rPr>
          <w:i/>
        </w:rPr>
        <w:t>47</w:t>
      </w:r>
      <w:r>
        <w:t xml:space="preserve">(3), 341-379. </w:t>
      </w:r>
    </w:p>
    <w:p w14:paraId="0C3A9577" w14:textId="77777777" w:rsidR="009C7506" w:rsidRDefault="008B3AB3">
      <w:pPr>
        <w:spacing w:after="43" w:line="259" w:lineRule="auto"/>
        <w:ind w:left="0" w:right="0" w:firstLine="0"/>
        <w:jc w:val="left"/>
      </w:pPr>
      <w:r>
        <w:t xml:space="preserve"> </w:t>
      </w:r>
    </w:p>
    <w:p w14:paraId="3E84B5C5" w14:textId="77777777" w:rsidR="009C7506" w:rsidRDefault="008B3AB3">
      <w:pPr>
        <w:numPr>
          <w:ilvl w:val="0"/>
          <w:numId w:val="1"/>
        </w:numPr>
        <w:ind w:left="431" w:right="45" w:hanging="420"/>
      </w:pPr>
      <w:r>
        <w:t xml:space="preserve">Jiang, J., Stanford, M. H., &amp; Xie, Y. (2012). Does it matter who pays for bond ratings? </w:t>
      </w:r>
    </w:p>
    <w:p w14:paraId="043E219C" w14:textId="77777777" w:rsidR="009C7506" w:rsidRDefault="008B3AB3">
      <w:pPr>
        <w:spacing w:after="33" w:line="259" w:lineRule="auto"/>
        <w:ind w:left="415" w:right="0"/>
        <w:jc w:val="left"/>
      </w:pPr>
      <w:r>
        <w:t xml:space="preserve">historical evidence. </w:t>
      </w:r>
      <w:r>
        <w:rPr>
          <w:i/>
        </w:rPr>
        <w:t>Social Scienc</w:t>
      </w:r>
      <w:r>
        <w:rPr>
          <w:i/>
        </w:rPr>
        <w:t>e Electronic Publishing,</w:t>
      </w:r>
      <w:r>
        <w:t xml:space="preserve"> </w:t>
      </w:r>
      <w:r>
        <w:rPr>
          <w:i/>
        </w:rPr>
        <w:t>105</w:t>
      </w:r>
      <w:r>
        <w:t xml:space="preserve">(3), 607-621. </w:t>
      </w:r>
    </w:p>
    <w:p w14:paraId="5E9C0562" w14:textId="77777777" w:rsidR="009C7506" w:rsidRDefault="008B3AB3">
      <w:pPr>
        <w:spacing w:after="43" w:line="259" w:lineRule="auto"/>
        <w:ind w:left="0" w:right="0" w:firstLine="0"/>
        <w:jc w:val="left"/>
      </w:pPr>
      <w:r>
        <w:t xml:space="preserve"> </w:t>
      </w:r>
    </w:p>
    <w:p w14:paraId="228764C8" w14:textId="77777777" w:rsidR="009C7506" w:rsidRDefault="008B3AB3">
      <w:pPr>
        <w:numPr>
          <w:ilvl w:val="0"/>
          <w:numId w:val="1"/>
        </w:numPr>
        <w:ind w:left="431" w:right="45" w:hanging="420"/>
      </w:pPr>
      <w:r>
        <w:t xml:space="preserve">Johnson, S., &amp; Mitton, T. (2001). Cronyism and capital control: evidence from malaysia. </w:t>
      </w:r>
      <w:r>
        <w:rPr>
          <w:i/>
        </w:rPr>
        <w:t>Journal of Financial Economics,</w:t>
      </w:r>
      <w:r>
        <w:t xml:space="preserve"> </w:t>
      </w:r>
      <w:r>
        <w:rPr>
          <w:i/>
        </w:rPr>
        <w:t>67</w:t>
      </w:r>
      <w:r>
        <w:t xml:space="preserve">(2), 351-382. </w:t>
      </w:r>
    </w:p>
    <w:p w14:paraId="3F3220E0" w14:textId="77777777" w:rsidR="009C7506" w:rsidRDefault="008B3AB3">
      <w:pPr>
        <w:spacing w:after="43" w:line="259" w:lineRule="auto"/>
        <w:ind w:left="0" w:right="0" w:firstLine="0"/>
        <w:jc w:val="left"/>
      </w:pPr>
      <w:r>
        <w:t xml:space="preserve"> </w:t>
      </w:r>
    </w:p>
    <w:p w14:paraId="01241183" w14:textId="77777777" w:rsidR="009C7506" w:rsidRDefault="008B3AB3">
      <w:pPr>
        <w:numPr>
          <w:ilvl w:val="0"/>
          <w:numId w:val="1"/>
        </w:numPr>
        <w:ind w:left="431" w:right="45" w:hanging="420"/>
      </w:pPr>
      <w:r>
        <w:t>Kashyap, A. K., &amp; Kovrijnykh, N. (2016). Who should pay for credit ratin</w:t>
      </w:r>
      <w:r>
        <w:t xml:space="preserve">gs and how?. </w:t>
      </w:r>
      <w:r>
        <w:rPr>
          <w:i/>
        </w:rPr>
        <w:t>Nber Working Papers,</w:t>
      </w:r>
      <w:r>
        <w:t xml:space="preserve"> </w:t>
      </w:r>
      <w:r>
        <w:rPr>
          <w:i/>
        </w:rPr>
        <w:t>29</w:t>
      </w:r>
      <w:r>
        <w:t xml:space="preserve">(2). </w:t>
      </w:r>
    </w:p>
    <w:p w14:paraId="5FC083CA" w14:textId="77777777" w:rsidR="009C7506" w:rsidRDefault="008B3AB3">
      <w:pPr>
        <w:spacing w:after="43" w:line="259" w:lineRule="auto"/>
        <w:ind w:left="0" w:right="0" w:firstLine="0"/>
        <w:jc w:val="left"/>
      </w:pPr>
      <w:r>
        <w:t xml:space="preserve"> </w:t>
      </w:r>
    </w:p>
    <w:p w14:paraId="778CB4DF" w14:textId="77777777" w:rsidR="009C7506" w:rsidRDefault="008B3AB3">
      <w:pPr>
        <w:numPr>
          <w:ilvl w:val="0"/>
          <w:numId w:val="1"/>
        </w:numPr>
        <w:ind w:left="431" w:right="45" w:hanging="420"/>
      </w:pPr>
      <w:r>
        <w:t xml:space="preserve">Khwaja, A. I., &amp; Mian, A. (2006). Tracing the impact of bank liquidity shocks. General Information, volume 98(4), 1413-1442(30). </w:t>
      </w:r>
    </w:p>
    <w:p w14:paraId="6C03C82B" w14:textId="77777777" w:rsidR="009C7506" w:rsidRDefault="008B3AB3">
      <w:pPr>
        <w:spacing w:after="43" w:line="259" w:lineRule="auto"/>
        <w:ind w:left="0" w:right="0" w:firstLine="0"/>
        <w:jc w:val="left"/>
      </w:pPr>
      <w:r>
        <w:t xml:space="preserve"> </w:t>
      </w:r>
    </w:p>
    <w:p w14:paraId="68230EE2" w14:textId="77777777" w:rsidR="009C7506" w:rsidRDefault="008B3AB3">
      <w:pPr>
        <w:numPr>
          <w:ilvl w:val="0"/>
          <w:numId w:val="1"/>
        </w:numPr>
        <w:ind w:left="431" w:right="45" w:hanging="420"/>
      </w:pPr>
      <w:r>
        <w:t xml:space="preserve">Klein, B., &amp; Leffler, K. B. (1979). The role of price in guaranteeing quality. </w:t>
      </w:r>
      <w:r>
        <w:rPr>
          <w:i/>
        </w:rPr>
        <w:t>Ucla Economics Working Papers</w:t>
      </w:r>
      <w:r>
        <w:t xml:space="preserve">. </w:t>
      </w:r>
    </w:p>
    <w:p w14:paraId="23FED848" w14:textId="77777777" w:rsidR="009C7506" w:rsidRDefault="008B3AB3">
      <w:pPr>
        <w:spacing w:after="0" w:line="259" w:lineRule="auto"/>
        <w:ind w:left="0" w:right="0" w:firstLine="0"/>
        <w:jc w:val="left"/>
      </w:pPr>
      <w:r>
        <w:lastRenderedPageBreak/>
        <w:t xml:space="preserve"> </w:t>
      </w:r>
    </w:p>
    <w:p w14:paraId="02BC1661" w14:textId="77777777" w:rsidR="009C7506" w:rsidRDefault="008B3AB3">
      <w:pPr>
        <w:numPr>
          <w:ilvl w:val="0"/>
          <w:numId w:val="1"/>
        </w:numPr>
        <w:ind w:left="431" w:right="45" w:hanging="420"/>
      </w:pPr>
      <w:r>
        <w:t xml:space="preserve">Krigman, L., Shaw, W. H., &amp; Womack, K. L. (2001). Why do firms switch underwriters? </w:t>
      </w:r>
    </w:p>
    <w:p w14:paraId="04B34103" w14:textId="77777777" w:rsidR="009C7506" w:rsidRDefault="008B3AB3">
      <w:pPr>
        <w:spacing w:after="33" w:line="259" w:lineRule="auto"/>
        <w:ind w:left="415" w:right="0"/>
        <w:jc w:val="left"/>
      </w:pPr>
      <w:r>
        <w:rPr>
          <w:i/>
        </w:rPr>
        <w:t>Journal of Financial Economics,</w:t>
      </w:r>
      <w:r>
        <w:t xml:space="preserve"> </w:t>
      </w:r>
      <w:r>
        <w:rPr>
          <w:i/>
        </w:rPr>
        <w:t>60</w:t>
      </w:r>
      <w:r>
        <w:t xml:space="preserve">(2–3), 245-284. </w:t>
      </w:r>
    </w:p>
    <w:p w14:paraId="6BD1C54A" w14:textId="77777777" w:rsidR="009C7506" w:rsidRDefault="008B3AB3">
      <w:pPr>
        <w:spacing w:after="43" w:line="259" w:lineRule="auto"/>
        <w:ind w:left="0" w:right="0" w:firstLine="0"/>
        <w:jc w:val="left"/>
      </w:pPr>
      <w:r>
        <w:t xml:space="preserve"> </w:t>
      </w:r>
    </w:p>
    <w:p w14:paraId="698A975D" w14:textId="77777777" w:rsidR="009C7506" w:rsidRDefault="008B3AB3">
      <w:pPr>
        <w:numPr>
          <w:ilvl w:val="0"/>
          <w:numId w:val="1"/>
        </w:numPr>
        <w:ind w:left="431" w:right="45" w:hanging="420"/>
      </w:pPr>
      <w:r>
        <w:t xml:space="preserve">Lin, </w:t>
      </w:r>
      <w:r>
        <w:t xml:space="preserve">J. Y., &amp; Tan, G. (1999). Policy burdens, accountability, and the soft budget constraint.  </w:t>
      </w:r>
      <w:r>
        <w:rPr>
          <w:i/>
        </w:rPr>
        <w:t>89</w:t>
      </w:r>
      <w:r>
        <w:t xml:space="preserve">(2), 426-431. </w:t>
      </w:r>
    </w:p>
    <w:p w14:paraId="04DDC6A5" w14:textId="77777777" w:rsidR="009C7506" w:rsidRDefault="008B3AB3">
      <w:pPr>
        <w:spacing w:after="43" w:line="259" w:lineRule="auto"/>
        <w:ind w:left="0" w:right="0" w:firstLine="0"/>
        <w:jc w:val="left"/>
      </w:pPr>
      <w:r>
        <w:t xml:space="preserve"> </w:t>
      </w:r>
    </w:p>
    <w:p w14:paraId="4B1A6515" w14:textId="77777777" w:rsidR="009C7506" w:rsidRDefault="008B3AB3">
      <w:pPr>
        <w:numPr>
          <w:ilvl w:val="0"/>
          <w:numId w:val="1"/>
        </w:numPr>
        <w:ind w:left="431" w:right="45" w:hanging="420"/>
      </w:pPr>
      <w:r>
        <w:t xml:space="preserve">Liu, Q., &amp; Tian, G. G. (2010). Political connections, founding family ownership and leverage decision of privately owned firms. </w:t>
      </w:r>
      <w:r>
        <w:rPr>
          <w:i/>
        </w:rPr>
        <w:t>Ssrn Electronic Jou</w:t>
      </w:r>
      <w:r>
        <w:rPr>
          <w:i/>
        </w:rPr>
        <w:t>rnal</w:t>
      </w:r>
      <w:r>
        <w:t xml:space="preserve">. </w:t>
      </w:r>
    </w:p>
    <w:p w14:paraId="4EA4B8DC" w14:textId="77777777" w:rsidR="009C7506" w:rsidRDefault="008B3AB3">
      <w:pPr>
        <w:spacing w:after="43" w:line="259" w:lineRule="auto"/>
        <w:ind w:left="0" w:right="0" w:firstLine="0"/>
        <w:jc w:val="left"/>
      </w:pPr>
      <w:r>
        <w:t xml:space="preserve"> </w:t>
      </w:r>
    </w:p>
    <w:p w14:paraId="2054AEC9" w14:textId="77777777" w:rsidR="009C7506" w:rsidRDefault="008B3AB3">
      <w:pPr>
        <w:numPr>
          <w:ilvl w:val="0"/>
          <w:numId w:val="1"/>
        </w:numPr>
        <w:ind w:left="431" w:right="45" w:hanging="420"/>
      </w:pPr>
      <w:r>
        <w:t xml:space="preserve">Mathis, J., Mcandrews, J., &amp; Rochet, J. C. (2009). Rating the raters: are reputation concerns powerful enough to discipline rating agencies? </w:t>
      </w:r>
      <w:r>
        <w:rPr>
          <w:i/>
        </w:rPr>
        <w:t>Journal of Monetary Economics,</w:t>
      </w:r>
      <w:r>
        <w:t xml:space="preserve"> </w:t>
      </w:r>
      <w:r>
        <w:rPr>
          <w:i/>
        </w:rPr>
        <w:t>56</w:t>
      </w:r>
      <w:r>
        <w:t xml:space="preserve">(5), 657-674. </w:t>
      </w:r>
    </w:p>
    <w:p w14:paraId="6BC206D8" w14:textId="77777777" w:rsidR="009C7506" w:rsidRDefault="008B3AB3">
      <w:pPr>
        <w:spacing w:after="43" w:line="259" w:lineRule="auto"/>
        <w:ind w:left="0" w:right="0" w:firstLine="0"/>
        <w:jc w:val="left"/>
      </w:pPr>
      <w:r>
        <w:t xml:space="preserve"> </w:t>
      </w:r>
    </w:p>
    <w:p w14:paraId="0D8D84A8" w14:textId="77777777" w:rsidR="009C7506" w:rsidRDefault="008B3AB3">
      <w:pPr>
        <w:numPr>
          <w:ilvl w:val="0"/>
          <w:numId w:val="1"/>
        </w:numPr>
        <w:ind w:left="431" w:right="45" w:hanging="420"/>
      </w:pPr>
      <w:r>
        <w:t>Medvedev, A., &amp; Fennell, D. (2011). An economic analysis of credi</w:t>
      </w:r>
      <w:r>
        <w:t xml:space="preserve">t rating agency business models and ratings accuracy. </w:t>
      </w:r>
      <w:r>
        <w:rPr>
          <w:i/>
        </w:rPr>
        <w:t>Social Science Electronic Publishing</w:t>
      </w:r>
      <w:r>
        <w:t xml:space="preserve">. </w:t>
      </w:r>
    </w:p>
    <w:p w14:paraId="0926E1FF" w14:textId="77777777" w:rsidR="009C7506" w:rsidRDefault="008B3AB3">
      <w:pPr>
        <w:spacing w:after="43" w:line="259" w:lineRule="auto"/>
        <w:ind w:left="0" w:right="0" w:firstLine="0"/>
        <w:jc w:val="left"/>
      </w:pPr>
      <w:r>
        <w:t xml:space="preserve"> </w:t>
      </w:r>
    </w:p>
    <w:p w14:paraId="33B8B99F" w14:textId="77777777" w:rsidR="009C7506" w:rsidRDefault="008B3AB3">
      <w:pPr>
        <w:numPr>
          <w:ilvl w:val="0"/>
          <w:numId w:val="1"/>
        </w:numPr>
        <w:ind w:left="431" w:right="45" w:hanging="420"/>
      </w:pPr>
      <w:r>
        <w:t>Megginson, W. L., &amp; Weiss, K. A. (1991). Venture capitalist certification in initial public offerings.</w:t>
      </w:r>
      <w:r>
        <w:rPr>
          <w:i/>
        </w:rPr>
        <w:t xml:space="preserve"> The Journal of Finance, 46</w:t>
      </w:r>
      <w:r>
        <w:t xml:space="preserve">(3), 879-903. </w:t>
      </w:r>
    </w:p>
    <w:p w14:paraId="50B5D543" w14:textId="77777777" w:rsidR="009C7506" w:rsidRDefault="008B3AB3">
      <w:pPr>
        <w:spacing w:after="43" w:line="259" w:lineRule="auto"/>
        <w:ind w:left="0" w:right="0" w:firstLine="0"/>
        <w:jc w:val="left"/>
      </w:pPr>
      <w:r>
        <w:t xml:space="preserve"> </w:t>
      </w:r>
    </w:p>
    <w:p w14:paraId="6AC356A3" w14:textId="77777777" w:rsidR="009C7506" w:rsidRDefault="008B3AB3">
      <w:pPr>
        <w:numPr>
          <w:ilvl w:val="0"/>
          <w:numId w:val="1"/>
        </w:numPr>
        <w:ind w:left="431" w:right="45" w:hanging="420"/>
      </w:pPr>
      <w:r>
        <w:t>Opp, C. C., Opp</w:t>
      </w:r>
      <w:r>
        <w:t xml:space="preserve">, M. M., &amp; Harris, M. (2012). Rating agencies in the face of regulation. </w:t>
      </w:r>
      <w:r>
        <w:rPr>
          <w:i/>
        </w:rPr>
        <w:t>Social Science Electronic Publishing,</w:t>
      </w:r>
      <w:r>
        <w:t xml:space="preserve"> </w:t>
      </w:r>
      <w:r>
        <w:rPr>
          <w:i/>
        </w:rPr>
        <w:t>108</w:t>
      </w:r>
      <w:r>
        <w:t xml:space="preserve">(1), 46–61. </w:t>
      </w:r>
    </w:p>
    <w:p w14:paraId="62DF8940" w14:textId="77777777" w:rsidR="009C7506" w:rsidRDefault="008B3AB3">
      <w:pPr>
        <w:spacing w:after="43" w:line="259" w:lineRule="auto"/>
        <w:ind w:left="0" w:right="0" w:firstLine="0"/>
        <w:jc w:val="left"/>
      </w:pPr>
      <w:r>
        <w:t xml:space="preserve"> </w:t>
      </w:r>
    </w:p>
    <w:p w14:paraId="34A13484" w14:textId="77777777" w:rsidR="009C7506" w:rsidRDefault="008B3AB3">
      <w:pPr>
        <w:numPr>
          <w:ilvl w:val="0"/>
          <w:numId w:val="1"/>
        </w:numPr>
        <w:ind w:left="431" w:right="45" w:hanging="420"/>
      </w:pPr>
      <w:r>
        <w:t xml:space="preserve">Opp, C. C., Opp, M. M., &amp; Harris, M. (2013). Rating agencies in the face of regulation </w:t>
      </w:r>
      <w:r>
        <w:rPr>
          <w:rFonts w:ascii="SimSun" w:eastAsia="SimSun" w:hAnsi="SimSun" w:cs="SimSun"/>
        </w:rPr>
        <w:t>☆</w:t>
      </w:r>
      <w:r>
        <w:t xml:space="preserve">. </w:t>
      </w:r>
      <w:r>
        <w:rPr>
          <w:i/>
        </w:rPr>
        <w:t>Social Science Electronic Publishing,</w:t>
      </w:r>
      <w:r>
        <w:t xml:space="preserve"> </w:t>
      </w:r>
      <w:r>
        <w:rPr>
          <w:i/>
        </w:rPr>
        <w:t>108</w:t>
      </w:r>
      <w:r>
        <w:t xml:space="preserve">(1), 46-61. </w:t>
      </w:r>
    </w:p>
    <w:p w14:paraId="276884BF" w14:textId="77777777" w:rsidR="009C7506" w:rsidRDefault="008B3AB3">
      <w:pPr>
        <w:spacing w:after="43" w:line="259" w:lineRule="auto"/>
        <w:ind w:left="0" w:right="0" w:firstLine="0"/>
        <w:jc w:val="left"/>
      </w:pPr>
      <w:r>
        <w:t xml:space="preserve"> </w:t>
      </w:r>
    </w:p>
    <w:p w14:paraId="6FB9503A" w14:textId="77777777" w:rsidR="009C7506" w:rsidRDefault="008B3AB3">
      <w:pPr>
        <w:numPr>
          <w:ilvl w:val="0"/>
          <w:numId w:val="1"/>
        </w:numPr>
        <w:ind w:left="431" w:right="45" w:hanging="420"/>
      </w:pPr>
      <w:r>
        <w:t xml:space="preserve">Ozerturk, S. (2014). Ratings as regulatory stamps. </w:t>
      </w:r>
      <w:r>
        <w:rPr>
          <w:i/>
        </w:rPr>
        <w:t>Journal of Economic Behavior &amp; Organization,</w:t>
      </w:r>
      <w:r>
        <w:t xml:space="preserve"> </w:t>
      </w:r>
      <w:r>
        <w:rPr>
          <w:i/>
        </w:rPr>
        <w:t>105</w:t>
      </w:r>
      <w:r>
        <w:t xml:space="preserve">, 17-29. </w:t>
      </w:r>
    </w:p>
    <w:p w14:paraId="3347ADCB" w14:textId="77777777" w:rsidR="009C7506" w:rsidRDefault="008B3AB3">
      <w:pPr>
        <w:spacing w:after="43" w:line="259" w:lineRule="auto"/>
        <w:ind w:left="0" w:right="0" w:firstLine="0"/>
        <w:jc w:val="left"/>
      </w:pPr>
      <w:r>
        <w:t xml:space="preserve"> </w:t>
      </w:r>
    </w:p>
    <w:p w14:paraId="5FE30DCD" w14:textId="77777777" w:rsidR="009C7506" w:rsidRDefault="008B3AB3">
      <w:pPr>
        <w:numPr>
          <w:ilvl w:val="0"/>
          <w:numId w:val="1"/>
        </w:numPr>
        <w:ind w:left="431" w:right="45" w:hanging="420"/>
      </w:pPr>
      <w:r>
        <w:t xml:space="preserve">Pedra, J. H., Brandt, A., Westerman, R., Lobo, N., Li, H. M., &amp; Romeroseverson, J., et al. (2003). Transcriptome analysis of the cowpea weevil bruchid: identification of putative proteinases and alpha-amylases associated with food breakdown. </w:t>
      </w:r>
      <w:r>
        <w:rPr>
          <w:i/>
        </w:rPr>
        <w:t>Insect Molecul</w:t>
      </w:r>
      <w:r>
        <w:rPr>
          <w:i/>
        </w:rPr>
        <w:t>ar Biology,</w:t>
      </w:r>
      <w:r>
        <w:t xml:space="preserve"> </w:t>
      </w:r>
      <w:r>
        <w:rPr>
          <w:i/>
        </w:rPr>
        <w:t>12</w:t>
      </w:r>
      <w:r>
        <w:t xml:space="preserve">(4), 405-412. </w:t>
      </w:r>
    </w:p>
    <w:p w14:paraId="24954F23" w14:textId="77777777" w:rsidR="009C7506" w:rsidRDefault="008B3AB3">
      <w:pPr>
        <w:spacing w:after="43" w:line="259" w:lineRule="auto"/>
        <w:ind w:left="0" w:right="0" w:firstLine="0"/>
        <w:jc w:val="left"/>
      </w:pPr>
      <w:r>
        <w:t xml:space="preserve"> </w:t>
      </w:r>
    </w:p>
    <w:p w14:paraId="0F09A724" w14:textId="77777777" w:rsidR="009C7506" w:rsidRDefault="008B3AB3">
      <w:pPr>
        <w:numPr>
          <w:ilvl w:val="0"/>
          <w:numId w:val="1"/>
        </w:numPr>
        <w:ind w:left="431" w:right="45" w:hanging="420"/>
      </w:pPr>
      <w:r>
        <w:t xml:space="preserve">Poon, W. P. H., &amp; Chan, K. C. (2008). An empirical examination of the informational content of credit ratings in china. </w:t>
      </w:r>
      <w:r>
        <w:rPr>
          <w:i/>
        </w:rPr>
        <w:t>Journal of Business Research,</w:t>
      </w:r>
      <w:r>
        <w:t xml:space="preserve"> </w:t>
      </w:r>
      <w:r>
        <w:rPr>
          <w:i/>
        </w:rPr>
        <w:t>61</w:t>
      </w:r>
      <w:r>
        <w:t xml:space="preserve">(7), 790-797. </w:t>
      </w:r>
    </w:p>
    <w:p w14:paraId="005DD71D" w14:textId="77777777" w:rsidR="009C7506" w:rsidRDefault="008B3AB3">
      <w:pPr>
        <w:spacing w:after="43" w:line="259" w:lineRule="auto"/>
        <w:ind w:left="0" w:right="0" w:firstLine="0"/>
        <w:jc w:val="left"/>
      </w:pPr>
      <w:r>
        <w:t xml:space="preserve"> </w:t>
      </w:r>
    </w:p>
    <w:p w14:paraId="2B122E81" w14:textId="77777777" w:rsidR="009C7506" w:rsidRDefault="008B3AB3">
      <w:pPr>
        <w:numPr>
          <w:ilvl w:val="0"/>
          <w:numId w:val="1"/>
        </w:numPr>
        <w:ind w:left="431" w:right="45" w:hanging="420"/>
      </w:pPr>
      <w:r>
        <w:t>Sangiorgi, F., &amp; Spatt, C. S. (2013). Opacity, credit ra</w:t>
      </w:r>
      <w:r>
        <w:t xml:space="preserve">ting shopping and bias. </w:t>
      </w:r>
      <w:r>
        <w:rPr>
          <w:i/>
        </w:rPr>
        <w:t>Ssrn Electronic Journal</w:t>
      </w:r>
      <w:r>
        <w:t xml:space="preserve">. </w:t>
      </w:r>
    </w:p>
    <w:p w14:paraId="738EE2D4" w14:textId="77777777" w:rsidR="009C7506" w:rsidRDefault="008B3AB3">
      <w:pPr>
        <w:spacing w:after="43" w:line="259" w:lineRule="auto"/>
        <w:ind w:left="0" w:right="0" w:firstLine="0"/>
        <w:jc w:val="left"/>
      </w:pPr>
      <w:r>
        <w:t xml:space="preserve"> </w:t>
      </w:r>
    </w:p>
    <w:p w14:paraId="4BA0D0AE" w14:textId="77777777" w:rsidR="009C7506" w:rsidRDefault="008B3AB3">
      <w:pPr>
        <w:numPr>
          <w:ilvl w:val="0"/>
          <w:numId w:val="1"/>
        </w:numPr>
        <w:ind w:left="431" w:right="45" w:hanging="420"/>
      </w:pPr>
      <w:r>
        <w:t xml:space="preserve">Spatt, C. (2008). Discussion of "ratings shopping and asset complexity: a theory of ratings inflation". </w:t>
      </w:r>
      <w:r>
        <w:rPr>
          <w:i/>
        </w:rPr>
        <w:t>Ssrn Electronic Journal,</w:t>
      </w:r>
      <w:r>
        <w:t xml:space="preserve"> </w:t>
      </w:r>
      <w:r>
        <w:rPr>
          <w:i/>
        </w:rPr>
        <w:t>56</w:t>
      </w:r>
      <w:r>
        <w:t xml:space="preserve">(5), 678-695. </w:t>
      </w:r>
    </w:p>
    <w:p w14:paraId="7372922D" w14:textId="77777777" w:rsidR="009C7506" w:rsidRDefault="008B3AB3">
      <w:pPr>
        <w:spacing w:after="43" w:line="259" w:lineRule="auto"/>
        <w:ind w:left="0" w:right="0" w:firstLine="0"/>
        <w:jc w:val="left"/>
      </w:pPr>
      <w:r>
        <w:t xml:space="preserve"> </w:t>
      </w:r>
    </w:p>
    <w:p w14:paraId="0D5EC8EE" w14:textId="77777777" w:rsidR="009C7506" w:rsidRDefault="008B3AB3">
      <w:pPr>
        <w:numPr>
          <w:ilvl w:val="0"/>
          <w:numId w:val="1"/>
        </w:numPr>
        <w:spacing w:after="33"/>
        <w:ind w:left="431" w:right="45" w:hanging="420"/>
      </w:pPr>
      <w:r>
        <w:t>Wang, L. (2015). Will political connections be accounted</w:t>
      </w:r>
      <w:r>
        <w:t xml:space="preserve"> for in the interest rates of chinese urban development investment bonds?.</w:t>
      </w:r>
      <w:r>
        <w:rPr>
          <w:i/>
        </w:rPr>
        <w:t>Emerging Markets Finance and Trade,</w:t>
      </w:r>
      <w:r>
        <w:t xml:space="preserve"> </w:t>
      </w:r>
      <w:r>
        <w:rPr>
          <w:i/>
        </w:rPr>
        <w:t>51</w:t>
      </w:r>
      <w:r>
        <w:t xml:space="preserve">(1), 108-129. </w:t>
      </w:r>
    </w:p>
    <w:p w14:paraId="084EFA40" w14:textId="77777777" w:rsidR="009C7506" w:rsidRDefault="008B3AB3">
      <w:pPr>
        <w:spacing w:after="43" w:line="259" w:lineRule="auto"/>
        <w:ind w:left="0" w:right="0" w:firstLine="0"/>
        <w:jc w:val="left"/>
      </w:pPr>
      <w:r>
        <w:t xml:space="preserve"> </w:t>
      </w:r>
    </w:p>
    <w:p w14:paraId="58E32E08" w14:textId="77777777" w:rsidR="009C7506" w:rsidRDefault="008B3AB3">
      <w:pPr>
        <w:numPr>
          <w:ilvl w:val="0"/>
          <w:numId w:val="1"/>
        </w:numPr>
        <w:ind w:left="431" w:right="45" w:hanging="420"/>
      </w:pPr>
      <w:r>
        <w:t xml:space="preserve">Yue, V. Z. (2010). Sovereign default and debt renegotiation. </w:t>
      </w:r>
      <w:r>
        <w:rPr>
          <w:i/>
        </w:rPr>
        <w:t>Journal of International Economics,</w:t>
      </w:r>
      <w:r>
        <w:t xml:space="preserve"> </w:t>
      </w:r>
      <w:r>
        <w:rPr>
          <w:i/>
        </w:rPr>
        <w:t>80</w:t>
      </w:r>
      <w:r>
        <w:t xml:space="preserve">(2), 176-187. </w:t>
      </w:r>
    </w:p>
    <w:p w14:paraId="1E69DF5F" w14:textId="77777777" w:rsidR="009C7506" w:rsidRDefault="008B3AB3">
      <w:pPr>
        <w:spacing w:after="0" w:line="259" w:lineRule="auto"/>
        <w:ind w:left="420" w:right="0" w:firstLine="0"/>
        <w:jc w:val="left"/>
      </w:pPr>
      <w:r>
        <w:t xml:space="preserve"> </w:t>
      </w:r>
    </w:p>
    <w:sectPr w:rsidR="009C7506">
      <w:pgSz w:w="11906" w:h="16838"/>
      <w:pgMar w:top="1445" w:right="1740" w:bottom="144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71EFD"/>
    <w:multiLevelType w:val="hybridMultilevel"/>
    <w:tmpl w:val="2C5E8780"/>
    <w:lvl w:ilvl="0" w:tplc="B6B268BE">
      <w:start w:val="1"/>
      <w:numFmt w:val="decimal"/>
      <w:lvlText w:val="[%1]"/>
      <w:lvlJc w:val="left"/>
      <w:pPr>
        <w:ind w:left="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064A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F879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432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BAAF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D81F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BC98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4668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EA0B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06"/>
    <w:rsid w:val="00513895"/>
    <w:rsid w:val="008B3AB3"/>
    <w:rsid w:val="009C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ED5B"/>
  <w15:docId w15:val="{19EF9EFE-02E6-4FD5-9FE0-3B0BDB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96" w:lineRule="auto"/>
      <w:ind w:left="10" w:right="5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3"/>
      <w:ind w:left="18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3"/>
      <w:ind w:left="10" w:hanging="10"/>
      <w:jc w:val="both"/>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BD7F696F-C1D8-455D-8305-BA20C14876C4}"/>
</file>

<file path=customXml/itemProps2.xml><?xml version="1.0" encoding="utf-8"?>
<ds:datastoreItem xmlns:ds="http://schemas.openxmlformats.org/officeDocument/2006/customXml" ds:itemID="{30625184-3665-40CB-8CEA-2C9FF2980E4E}"/>
</file>

<file path=customXml/itemProps3.xml><?xml version="1.0" encoding="utf-8"?>
<ds:datastoreItem xmlns:ds="http://schemas.openxmlformats.org/officeDocument/2006/customXml" ds:itemID="{A4FF0AA3-1AE4-468F-8083-15BFCB9C8EFE}"/>
</file>

<file path=docProps/app.xml><?xml version="1.0" encoding="utf-8"?>
<Properties xmlns="http://schemas.openxmlformats.org/officeDocument/2006/extended-properties" xmlns:vt="http://schemas.openxmlformats.org/officeDocument/2006/docPropsVTypes">
  <Template>Normal</Template>
  <TotalTime>0</TotalTime>
  <Pages>27</Pages>
  <Words>9512</Words>
  <Characters>54225</Characters>
  <Application>Microsoft Office Word</Application>
  <DocSecurity>0</DocSecurity>
  <Lines>451</Lines>
  <Paragraphs>127</Paragraphs>
  <ScaleCrop>false</ScaleCrop>
  <Company/>
  <LinksUpToDate>false</LinksUpToDate>
  <CharactersWithSpaces>63610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Jen</cp:lastModifiedBy>
  <cp:revision>3</cp:revision>
  <dcterms:created xsi:type="dcterms:W3CDTF">2020-11-02T12:41:00Z</dcterms:created>
  <dcterms:modified xsi:type="dcterms:W3CDTF">2020-11-02T12:41:00Z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