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1970F" w14:textId="77777777" w:rsidR="004A5B1B" w:rsidRDefault="00537EEE">
      <w:pPr>
        <w:spacing w:after="301" w:line="259" w:lineRule="auto"/>
        <w:ind w:left="0" w:firstLine="0"/>
        <w:jc w:val="center"/>
      </w:pPr>
      <w:r>
        <w:rPr>
          <w:b/>
          <w:sz w:val="34"/>
        </w:rPr>
        <w:t>On Optimising Sample Selection in Credit Scoring with Active Learning</w:t>
      </w:r>
    </w:p>
    <w:p w14:paraId="19BCFEEE" w14:textId="77777777" w:rsidR="004A5B1B" w:rsidRDefault="00537EEE">
      <w:pPr>
        <w:spacing w:after="93" w:line="259" w:lineRule="auto"/>
        <w:ind w:left="0" w:right="10" w:firstLine="0"/>
        <w:jc w:val="center"/>
      </w:pPr>
      <w:r>
        <w:rPr>
          <w:sz w:val="24"/>
        </w:rPr>
        <w:t>Georg Krempl</w:t>
      </w:r>
      <w:r>
        <w:rPr>
          <w:sz w:val="24"/>
          <w:vertAlign w:val="superscript"/>
        </w:rPr>
        <w:t xml:space="preserve">1 </w:t>
      </w:r>
      <w:r>
        <w:rPr>
          <w:sz w:val="24"/>
        </w:rPr>
        <w:t>and Daniel Kottke</w:t>
      </w:r>
      <w:r>
        <w:rPr>
          <w:sz w:val="24"/>
          <w:vertAlign w:val="superscript"/>
        </w:rPr>
        <w:t>2</w:t>
      </w:r>
    </w:p>
    <w:p w14:paraId="028CBA32" w14:textId="77777777" w:rsidR="004A5B1B" w:rsidRDefault="00537EEE">
      <w:pPr>
        <w:spacing w:after="0" w:line="259" w:lineRule="auto"/>
        <w:ind w:left="1873" w:hanging="10"/>
        <w:jc w:val="left"/>
      </w:pPr>
      <w:r>
        <w:rPr>
          <w:sz w:val="12"/>
        </w:rPr>
        <w:t>1</w:t>
      </w:r>
    </w:p>
    <w:p w14:paraId="6BCFB972" w14:textId="77777777" w:rsidR="004A5B1B" w:rsidRDefault="00537EEE">
      <w:pPr>
        <w:spacing w:after="3" w:line="259" w:lineRule="auto"/>
        <w:ind w:left="185" w:hanging="10"/>
        <w:jc w:val="center"/>
      </w:pPr>
      <w:r>
        <w:t>Knowledge Management &amp; Discovery</w:t>
      </w:r>
    </w:p>
    <w:p w14:paraId="1B0A4DD8" w14:textId="77777777" w:rsidR="004A5B1B" w:rsidRDefault="00537EEE">
      <w:pPr>
        <w:ind w:left="1733" w:hanging="374"/>
      </w:pPr>
      <w:r>
        <w:t xml:space="preserve">Otto-von-Guericke University Magdeburg, Germany </w:t>
      </w:r>
      <w:r>
        <w:rPr>
          <w:rFonts w:ascii="Calibri" w:eastAsia="Calibri" w:hAnsi="Calibri" w:cs="Calibri"/>
        </w:rPr>
        <w:t>georg.krempl@iti.cs.uni-magdeburg.de</w:t>
      </w:r>
    </w:p>
    <w:p w14:paraId="75591296" w14:textId="77777777" w:rsidR="004A5B1B" w:rsidRDefault="00537EEE">
      <w:pPr>
        <w:spacing w:after="0" w:line="259" w:lineRule="auto"/>
        <w:ind w:left="1688" w:hanging="10"/>
        <w:jc w:val="left"/>
      </w:pPr>
      <w:r>
        <w:rPr>
          <w:sz w:val="12"/>
        </w:rPr>
        <w:t>2</w:t>
      </w:r>
    </w:p>
    <w:p w14:paraId="752AEA64" w14:textId="77777777" w:rsidR="004A5B1B" w:rsidRDefault="00537EEE">
      <w:pPr>
        <w:spacing w:after="655" w:line="244" w:lineRule="auto"/>
        <w:ind w:left="2187" w:right="867" w:hanging="319"/>
        <w:jc w:val="left"/>
      </w:pPr>
      <w:r>
        <w:t xml:space="preserve">IES Group, Faculty of Computer Science, University of Kassel, Germany </w:t>
      </w:r>
      <w:r>
        <w:rPr>
          <w:rFonts w:ascii="Calibri" w:eastAsia="Calibri" w:hAnsi="Calibri" w:cs="Calibri"/>
        </w:rPr>
        <w:t>daniel.kottke@uni-kassel.de</w:t>
      </w:r>
    </w:p>
    <w:p w14:paraId="0A6EFFBC" w14:textId="77777777" w:rsidR="004A5B1B" w:rsidRDefault="00537EEE">
      <w:pPr>
        <w:ind w:left="567" w:right="567" w:firstLine="0"/>
      </w:pPr>
      <w:r>
        <w:rPr>
          <w:b/>
        </w:rPr>
        <w:t xml:space="preserve">Abstract. </w:t>
      </w:r>
      <w:r>
        <w:t>Constructing classifiers for credit scoring requires labelled training data, i.e. data of applicants with kno</w:t>
      </w:r>
      <w:r>
        <w:t>wn true good or bad creditworthiness status. Ideally, such a training sample constitutes an unbiased through-the-door sample. Nevertheless, obtaining such a sample is costly, as it involves accepting customers who are associated with a risky score. While t</w:t>
      </w:r>
      <w:r>
        <w:t xml:space="preserve">hese risky customers would have been rejected otherwise, they are accepted for the purpose of constructing a classifier model. </w:t>
      </w:r>
      <w:proofErr w:type="gramStart"/>
      <w:r>
        <w:t>In order to</w:t>
      </w:r>
      <w:proofErr w:type="gramEnd"/>
      <w:r>
        <w:t xml:space="preserve"> avoid this, reject inference procedures have been proposed, which aim to infer the true status of rejected customers </w:t>
      </w:r>
      <w:r>
        <w:t xml:space="preserve">from data obtained on the accepted ones. However, for obtaining valid reject inference, literature (e.g., [Hand and Henley, 2004]) suggests </w:t>
      </w:r>
      <w:proofErr w:type="gramStart"/>
      <w:r>
        <w:t>to obtain</w:t>
      </w:r>
      <w:proofErr w:type="gramEnd"/>
      <w:r>
        <w:t xml:space="preserve"> a so-called calibration sample, which requires a subsample of the instances in the costly reject regions. </w:t>
      </w:r>
      <w:r>
        <w:t xml:space="preserve">A related problem in machine learning is selective sampling [Settles, 2012], where costly labels are solely queried for of the most informative instances. Various approaches have been proposed for this active learning </w:t>
      </w:r>
      <w:proofErr w:type="gramStart"/>
      <w:r>
        <w:t>problem, and</w:t>
      </w:r>
      <w:proofErr w:type="gramEnd"/>
      <w:r>
        <w:t xml:space="preserve"> investigating their use i</w:t>
      </w:r>
      <w:r>
        <w:t>n credit scoring has been identified as a promising direction of further research recently (</w:t>
      </w:r>
      <w:proofErr w:type="spellStart"/>
      <w:r>
        <w:t>eg.</w:t>
      </w:r>
      <w:proofErr w:type="spellEnd"/>
      <w:r>
        <w:t>, in [Crone and Finlay, 2012]). Popular active learning approaches are uncertainty sampling and Query-by-Committee, although they have sometimes shown unreliable</w:t>
      </w:r>
      <w:r>
        <w:t xml:space="preserve"> performance (see e.g. [</w:t>
      </w:r>
      <w:proofErr w:type="spellStart"/>
      <w:r>
        <w:t>Attenberg</w:t>
      </w:r>
      <w:proofErr w:type="spellEnd"/>
      <w:r>
        <w:t xml:space="preserve"> and Provost, 2011], and [Evans et al., 2013]). More recently, a probabilistic active learning approach [</w:t>
      </w:r>
      <w:proofErr w:type="spellStart"/>
      <w:r>
        <w:t>Krempl</w:t>
      </w:r>
      <w:proofErr w:type="spellEnd"/>
      <w:r>
        <w:t xml:space="preserve"> et al., 2015] has been proposed with reliable performance with several classifier technologies [Beyer et al., 2</w:t>
      </w:r>
      <w:r>
        <w:t>015].</w:t>
      </w:r>
    </w:p>
    <w:p w14:paraId="5F557715" w14:textId="77777777" w:rsidR="004A5B1B" w:rsidRDefault="00537EEE">
      <w:pPr>
        <w:ind w:left="567" w:right="567" w:firstLine="0"/>
      </w:pPr>
      <w:r>
        <w:t xml:space="preserve">Therefore, in this work we propose to obtain a calibration subsample of instances in the costly reject regions by selective sampling techniques. </w:t>
      </w:r>
      <w:proofErr w:type="gramStart"/>
      <w:r>
        <w:t>In particular, we</w:t>
      </w:r>
      <w:proofErr w:type="gramEnd"/>
      <w:r>
        <w:t xml:space="preserve"> study the use of probabilistic active machine learning techniques for optimising the se</w:t>
      </w:r>
      <w:r>
        <w:t xml:space="preserve">lection of such a costly calibration sample. In an experimental evaluation, we compare different active selection </w:t>
      </w:r>
      <w:r>
        <w:lastRenderedPageBreak/>
        <w:t xml:space="preserve">techniques to a randomly selection </w:t>
      </w:r>
      <w:proofErr w:type="gramStart"/>
      <w:r>
        <w:t>strategy, and</w:t>
      </w:r>
      <w:proofErr w:type="gramEnd"/>
      <w:r>
        <w:t xml:space="preserve"> evaluate their impact on the performance of the obtained classifier.</w:t>
      </w:r>
    </w:p>
    <w:p w14:paraId="6CC64BC6" w14:textId="77777777" w:rsidR="004A5B1B" w:rsidRDefault="00537EEE">
      <w:pPr>
        <w:spacing w:after="114" w:line="259" w:lineRule="auto"/>
        <w:ind w:left="0" w:firstLine="0"/>
        <w:jc w:val="left"/>
      </w:pPr>
      <w:r>
        <w:rPr>
          <w:b/>
          <w:sz w:val="29"/>
        </w:rPr>
        <w:t>References</w:t>
      </w:r>
    </w:p>
    <w:p w14:paraId="0E55E165" w14:textId="77777777" w:rsidR="004A5B1B" w:rsidRDefault="00537EEE">
      <w:pPr>
        <w:ind w:left="163"/>
      </w:pPr>
      <w:r>
        <w:t>[</w:t>
      </w:r>
      <w:proofErr w:type="spellStart"/>
      <w:r>
        <w:t>Attenberg</w:t>
      </w:r>
      <w:proofErr w:type="spellEnd"/>
      <w:r>
        <w:t xml:space="preserve"> and Provost, 2011] </w:t>
      </w:r>
      <w:proofErr w:type="spellStart"/>
      <w:r>
        <w:t>Attenberg</w:t>
      </w:r>
      <w:proofErr w:type="spellEnd"/>
      <w:r>
        <w:t xml:space="preserve">, J. and Provost, F. (2011). Online active inference and labelling. In </w:t>
      </w:r>
      <w:r>
        <w:rPr>
          <w:i/>
        </w:rPr>
        <w:t>Proceedings of the International Conference on Knowledge Discovery and Data Mining (KDD 2011)</w:t>
      </w:r>
      <w:r>
        <w:t>.</w:t>
      </w:r>
    </w:p>
    <w:p w14:paraId="0FB499EA" w14:textId="77777777" w:rsidR="004A5B1B" w:rsidRDefault="00537EEE">
      <w:pPr>
        <w:ind w:left="163"/>
      </w:pPr>
      <w:r>
        <w:t xml:space="preserve">[Beyer et al., 2015] Beyer, C., </w:t>
      </w:r>
      <w:proofErr w:type="spellStart"/>
      <w:r>
        <w:t>Krempl</w:t>
      </w:r>
      <w:proofErr w:type="spellEnd"/>
      <w:r>
        <w:t>, G., and Lem</w:t>
      </w:r>
      <w:r>
        <w:t xml:space="preserve">aire, V. (2015). How to select information that matters: A comparative study on active learning strategies for classification. In </w:t>
      </w:r>
      <w:r>
        <w:rPr>
          <w:i/>
        </w:rPr>
        <w:t>Proc. of the 15</w:t>
      </w:r>
      <w:r>
        <w:rPr>
          <w:i/>
          <w:vertAlign w:val="superscript"/>
        </w:rPr>
        <w:t xml:space="preserve">th </w:t>
      </w:r>
      <w:r>
        <w:rPr>
          <w:i/>
        </w:rPr>
        <w:t>Int. Conf. on Knowledge Technologies and Data-Driven Business (</w:t>
      </w:r>
      <w:proofErr w:type="spellStart"/>
      <w:r>
        <w:rPr>
          <w:i/>
        </w:rPr>
        <w:t>i</w:t>
      </w:r>
      <w:proofErr w:type="spellEnd"/>
      <w:r>
        <w:rPr>
          <w:i/>
        </w:rPr>
        <w:t>-KNOW 2015)</w:t>
      </w:r>
      <w:r>
        <w:t>, pages 2:1–2:8. ACM.</w:t>
      </w:r>
    </w:p>
    <w:p w14:paraId="1E815EA8" w14:textId="77777777" w:rsidR="004A5B1B" w:rsidRDefault="00537EEE">
      <w:pPr>
        <w:ind w:left="163"/>
      </w:pPr>
      <w:r>
        <w:t xml:space="preserve">[Crone and </w:t>
      </w:r>
      <w:r>
        <w:t xml:space="preserve">Finlay, 2012] Crone, S. F. and Finlay, S. (2012). Instance sampling in credit scoring: An empirical study of sample size and balancing. </w:t>
      </w:r>
      <w:r>
        <w:rPr>
          <w:i/>
        </w:rPr>
        <w:t>International Journal of Forecasting</w:t>
      </w:r>
      <w:r>
        <w:t>, 28(1):224–238.</w:t>
      </w:r>
    </w:p>
    <w:p w14:paraId="641912CB" w14:textId="77777777" w:rsidR="004A5B1B" w:rsidRDefault="00537EEE">
      <w:pPr>
        <w:ind w:left="163"/>
      </w:pPr>
      <w:r>
        <w:t>[Evans et al., 2013] Evans, L. P., Adams, N. M., and Anagnostopoulo</w:t>
      </w:r>
      <w:r>
        <w:t xml:space="preserve">s, C. (2013). When does active learning work? In Tucker, A., </w:t>
      </w:r>
      <w:proofErr w:type="spellStart"/>
      <w:r>
        <w:t>Ho¨ppner</w:t>
      </w:r>
      <w:proofErr w:type="spellEnd"/>
      <w:r>
        <w:t xml:space="preserve">, F., </w:t>
      </w:r>
      <w:proofErr w:type="spellStart"/>
      <w:r>
        <w:t>Siebes</w:t>
      </w:r>
      <w:proofErr w:type="spellEnd"/>
      <w:r>
        <w:t xml:space="preserve">, A., and Swift, S., editors, </w:t>
      </w:r>
      <w:r>
        <w:rPr>
          <w:i/>
        </w:rPr>
        <w:t>Advances in Intelligent Data Analysis XII 12</w:t>
      </w:r>
      <w:r>
        <w:rPr>
          <w:i/>
          <w:vertAlign w:val="superscript"/>
        </w:rPr>
        <w:t xml:space="preserve">th </w:t>
      </w:r>
      <w:r>
        <w:rPr>
          <w:i/>
        </w:rPr>
        <w:t>International Symposium, IDA 2013, London, UK, October 2013</w:t>
      </w:r>
      <w:r>
        <w:t xml:space="preserve">, volume 8207 of </w:t>
      </w:r>
      <w:r>
        <w:rPr>
          <w:i/>
        </w:rPr>
        <w:t>Lecture Notes in Compu</w:t>
      </w:r>
      <w:r>
        <w:rPr>
          <w:i/>
        </w:rPr>
        <w:t>ter Science</w:t>
      </w:r>
      <w:r>
        <w:t>, pages 174–185. Springer.</w:t>
      </w:r>
    </w:p>
    <w:p w14:paraId="30F2E5B1" w14:textId="77777777" w:rsidR="004A5B1B" w:rsidRDefault="00537EEE">
      <w:pPr>
        <w:ind w:left="163"/>
      </w:pPr>
      <w:r>
        <w:t xml:space="preserve">[Hand and Henley, 2004] Hand, D. J. and Henley, W. E. (2004). Can reject inference ever work? In Thomas, L. C., Edelman, D. B., and Crook, J., editors, </w:t>
      </w:r>
      <w:r>
        <w:rPr>
          <w:i/>
        </w:rPr>
        <w:t>Readings in Credit Scoring: Foundations, Developments, and Aims</w:t>
      </w:r>
      <w:r>
        <w:t>, O</w:t>
      </w:r>
      <w:r>
        <w:t>xford Finance Series. Oxford University Press.</w:t>
      </w:r>
    </w:p>
    <w:p w14:paraId="71627903" w14:textId="77777777" w:rsidR="004A5B1B" w:rsidRDefault="00537EEE">
      <w:pPr>
        <w:ind w:left="163"/>
      </w:pPr>
      <w:r>
        <w:t>[</w:t>
      </w:r>
      <w:proofErr w:type="spellStart"/>
      <w:r>
        <w:t>Krempl</w:t>
      </w:r>
      <w:proofErr w:type="spellEnd"/>
      <w:r>
        <w:t xml:space="preserve"> et al., 2015] </w:t>
      </w:r>
      <w:proofErr w:type="spellStart"/>
      <w:r>
        <w:t>Krempl</w:t>
      </w:r>
      <w:proofErr w:type="spellEnd"/>
      <w:r>
        <w:t xml:space="preserve">, G., </w:t>
      </w:r>
      <w:proofErr w:type="spellStart"/>
      <w:r>
        <w:t>Kottke</w:t>
      </w:r>
      <w:proofErr w:type="spellEnd"/>
      <w:r>
        <w:t xml:space="preserve">, D., and Lemaire, V. (2015). Optimised probabilistic active learning (OPAL) for fast, non-myopic, cost-sensitive active classification. </w:t>
      </w:r>
      <w:r>
        <w:rPr>
          <w:i/>
        </w:rPr>
        <w:t>Machine Learning</w:t>
      </w:r>
      <w:r>
        <w:t>, 100(2).</w:t>
      </w:r>
    </w:p>
    <w:p w14:paraId="69C94D64" w14:textId="77777777" w:rsidR="004A5B1B" w:rsidRDefault="00537EEE">
      <w:pPr>
        <w:spacing w:after="3" w:line="259" w:lineRule="auto"/>
        <w:ind w:left="-5" w:right="-15" w:hanging="10"/>
        <w:jc w:val="center"/>
      </w:pPr>
      <w:r>
        <w:t>[Settl</w:t>
      </w:r>
      <w:r>
        <w:t xml:space="preserve">es, 2012] Settles, B. (2012). </w:t>
      </w:r>
      <w:r>
        <w:rPr>
          <w:i/>
        </w:rPr>
        <w:t>Active Learning</w:t>
      </w:r>
      <w:r>
        <w:t>. Number 18 in Synthesis Lectures on Artificial Intelligence and Machine Learning. Morgan and Claypool Publishers.</w:t>
      </w:r>
    </w:p>
    <w:sectPr w:rsidR="004A5B1B">
      <w:pgSz w:w="12240" w:h="15840"/>
      <w:pgMar w:top="2337" w:right="2628" w:bottom="3044" w:left="26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1B"/>
    <w:rsid w:val="004A5B1B"/>
    <w:rsid w:val="0053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5003"/>
  <w15:docId w15:val="{19EF9EFE-02E6-4FD5-9FE0-3B0BDB68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60" w:lineRule="auto"/>
      <w:ind w:left="353" w:hanging="178"/>
      <w:jc w:val="both"/>
    </w:pPr>
    <w:rPr>
      <w:rFonts w:ascii="Cambria" w:eastAsia="Cambria" w:hAnsi="Cambria" w:cs="Cambria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107503A2-41A3-4D67-9465-07632188BD8B}"/>
</file>

<file path=customXml/itemProps2.xml><?xml version="1.0" encoding="utf-8"?>
<ds:datastoreItem xmlns:ds="http://schemas.openxmlformats.org/officeDocument/2006/customXml" ds:itemID="{00A9146A-A50A-4888-BDDA-C43260B8C011}"/>
</file>

<file path=customXml/itemProps3.xml><?xml version="1.0" encoding="utf-8"?>
<ds:datastoreItem xmlns:ds="http://schemas.openxmlformats.org/officeDocument/2006/customXml" ds:itemID="{30D27050-1DCA-4990-B53D-5A936F1A2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cp:lastModifiedBy>Jen</cp:lastModifiedBy>
  <cp:revision>2</cp:revision>
  <dcterms:created xsi:type="dcterms:W3CDTF">2020-11-02T12:42:00Z</dcterms:created>
  <dcterms:modified xsi:type="dcterms:W3CDTF">2020-11-02T12:42:00Z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