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12780380249023" w:lineRule="auto"/>
        <w:ind w:left="633.7158203125" w:right="539.8876953125" w:firstLine="0"/>
        <w:jc w:val="center"/>
        <w:rPr>
          <w:rFonts w:ascii="Times New Roman" w:cs="Times New Roman" w:eastAsia="Times New Roman" w:hAnsi="Times New Roman"/>
          <w:b w:val="1"/>
          <w:i w:val="0"/>
          <w:smallCaps w:val="0"/>
          <w:strike w:val="0"/>
          <w:color w:val="000000"/>
          <w:sz w:val="39.84000015258789"/>
          <w:szCs w:val="39.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9.84000015258789"/>
          <w:szCs w:val="39.84000015258789"/>
          <w:u w:val="none"/>
          <w:shd w:fill="auto" w:val="clear"/>
          <w:vertAlign w:val="baseline"/>
          <w:rtl w:val="0"/>
        </w:rPr>
        <w:t xml:space="preserve">A Macroeconomic Model with Firm Debt  Financing, Bank Lending and Banking  Regulations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675537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Chao Huang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University of Edinburgh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88232421875" w:line="240" w:lineRule="auto"/>
        <w:ind w:left="0" w:right="0" w:firstLine="0"/>
        <w:jc w:val="center"/>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Abstract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065185546875" w:line="282.4954605102539" w:lineRule="auto"/>
        <w:ind w:left="7.065582275390625" w:right="0" w:firstLine="3.974456787109375"/>
        <w:jc w:val="left"/>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How would banking regulations affect debt financing structure of firms, the borrowers of  banks? To deal with this, I develop a general equilibrium model in which firms borrow loans  from banks and issue corporate bonds to banks and savers. Savers use their wealth as deposits  in the banks and to buy corporate bonds from the firms. The government guarantees the  deposits and imposes Basel-style (capital and liquidity) requirements on banks. The model  reveals changes in firms’ debt financing structure as a result of different requirements and  impacts caused to the real economy. Both the requirements result in lower financial fragility,  reduce the volatility of the banking system but lower the size of loan lending and output. The  requirements also drive up deposit rate, bond rate and loan rate but narrow down spreads  between the deposit rate and the other two rates. These effects are more significant when with  the liquidity requirements. Due to the increase in the corporate bond rate, firms will not rely  on the issuance of corporate bonds to compensate for the reduction in loans. Wealth is  redistributed from the owners of banks to savers and the owners of firms. Implementation of  the banking regulations might cause sizeable effects on firms and other sectors of the  economy.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63006591796875" w:line="240" w:lineRule="auto"/>
        <w:ind w:left="0" w:right="0" w:firstLine="0"/>
        <w:jc w:val="left"/>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tl w:val="0"/>
        </w:rPr>
        <w:t xml:space="preserve">JEL: G12, G21, G28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6171875" w:line="282.4955463409424" w:lineRule="auto"/>
        <w:ind w:left="2.428741455078125" w:right="1076.7803955078125" w:hanging="0.8831787109375"/>
        <w:jc w:val="left"/>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tl w:val="0"/>
        </w:rPr>
        <w:t xml:space="preserve">Keywords: Financial Intermediation, Bank Capital Requirements, Bank Liquidity</w:t>
      </w:r>
      <w:r w:rsidDel="00000000" w:rsidR="00000000" w:rsidRPr="00000000">
        <w:rPr>
          <w:rFonts w:ascii="Times New Roman" w:cs="Times New Roman" w:eastAsia="Times New Roman" w:hAnsi="Times New Roman"/>
          <w:i w:val="1"/>
          <w:sz w:val="22.080001831054688"/>
          <w:szCs w:val="22.080001831054688"/>
          <w:rtl w:val="0"/>
        </w:rPr>
        <w:t xml:space="preserve"> </w:t>
      </w:r>
      <w:r w:rsidDel="00000000" w:rsidR="00000000" w:rsidRPr="00000000">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tl w:val="0"/>
        </w:rPr>
        <w:t xml:space="preserve">Requirements, Macro-prudential Policy. </w:t>
      </w:r>
    </w:p>
    <w:sectPr>
      <w:pgSz w:h="16840" w:w="11900" w:orient="portrait"/>
      <w:pgMar w:bottom="2064.6850393700797" w:top="2409.448818897638" w:left="1792.713623046875" w:right="1785.349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330A5-88FF-4385-9F63-C4E0316C6A35}"/>
</file>

<file path=customXml/itemProps2.xml><?xml version="1.0" encoding="utf-8"?>
<ds:datastoreItem xmlns:ds="http://schemas.openxmlformats.org/officeDocument/2006/customXml" ds:itemID="{EC39794B-A013-4AF4-844E-F8D2E62C614D}"/>
</file>

<file path=customXml/itemProps3.xml><?xml version="1.0" encoding="utf-8"?>
<ds:datastoreItem xmlns:ds="http://schemas.openxmlformats.org/officeDocument/2006/customXml" ds:itemID="{D1BB427E-9202-4E45-A36D-D98C4826D2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