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Theme="minorAscii" w:hAnsiTheme="minorAscii"/>
          <w:b/>
          <w:bCs/>
          <w:sz w:val="28"/>
          <w:szCs w:val="28"/>
          <w:lang w:val="en-US" w:eastAsia="zh-CN"/>
        </w:rPr>
      </w:pPr>
      <w:r>
        <w:rPr>
          <w:rFonts w:hint="default" w:asciiTheme="minorAscii" w:hAnsiTheme="minorAscii"/>
          <w:b/>
          <w:bCs/>
          <w:sz w:val="28"/>
          <w:szCs w:val="28"/>
          <w:lang w:val="en-US" w:eastAsia="zh-CN"/>
        </w:rPr>
        <w:t>Causal regularization for</w:t>
      </w:r>
      <w:r>
        <w:rPr>
          <w:rFonts w:hint="eastAsia" w:asciiTheme="minorAscii" w:hAnsiTheme="minorAscii"/>
          <w:b/>
          <w:bCs/>
          <w:sz w:val="28"/>
          <w:szCs w:val="28"/>
          <w:lang w:val="en-US" w:eastAsia="zh-CN"/>
        </w:rPr>
        <w:t xml:space="preserve"> Stable</w:t>
      </w:r>
      <w:r>
        <w:rPr>
          <w:rFonts w:hint="default" w:asciiTheme="minorAscii" w:hAnsiTheme="minorAscii"/>
          <w:b/>
          <w:bCs/>
          <w:sz w:val="28"/>
          <w:szCs w:val="28"/>
          <w:lang w:val="en-US" w:eastAsia="zh-CN"/>
        </w:rPr>
        <w:t xml:space="preserve"> Scoring Card Model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eastAsia="NimbusRomNo9L-Medi" w:cs="Calibri" w:asciiTheme="minorAscii" w:hAnsiTheme="minorAscii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eastAsia="NimbusRomNo9L-Medi" w:cs="Calibri" w:asciiTheme="minorAscii" w:hAnsiTheme="minorAscii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Kun Li, Fanglan Zheng, Jiang Tian and Xiaojia Xiang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eastAsia="NimbusRomNo9L-Medi" w:cs="Calibri" w:asciiTheme="minorAscii" w:hAnsiTheme="minorAscii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eastAsia="NimbusRomNo9L-Medi" w:cs="Calibri" w:asciiTheme="minorAscii" w:hAnsiTheme="minorAscii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Everbright Technology CO. LTD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NimbusRomNo9L-Medi" w:cs="Calibri" w:asciiTheme="minorAscii" w:hAnsiTheme="minorAscii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eastAsia="NimbusRomNo9L-Medi" w:cs="Calibri" w:asciiTheme="minorAscii" w:hAnsiTheme="minorAscii"/>
          <w:b w:val="0"/>
          <w:bCs w:val="0"/>
          <w:color w:val="00000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eastAsia="NimbusRomNo9L-Medi" w:cs="Calibri" w:asciiTheme="minorAscii" w:hAnsiTheme="minorAscii"/>
          <w:b w:val="0"/>
          <w:bCs w:val="0"/>
          <w:color w:val="000000"/>
          <w:kern w:val="0"/>
          <w:sz w:val="24"/>
          <w:szCs w:val="24"/>
          <w:lang w:val="en-US" w:eastAsia="zh-CN" w:bidi="ar"/>
        </w:rPr>
        <w:instrText xml:space="preserve"> HYPERLINK "mailto:likun3@ebchinatech.com" </w:instrText>
      </w:r>
      <w:r>
        <w:rPr>
          <w:rFonts w:hint="eastAsia" w:eastAsia="NimbusRomNo9L-Medi" w:cs="Calibri" w:asciiTheme="minorAscii" w:hAnsiTheme="minorAscii"/>
          <w:b w:val="0"/>
          <w:bCs w:val="0"/>
          <w:color w:val="000000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5"/>
          <w:rFonts w:hint="eastAsia" w:eastAsia="NimbusRomNo9L-Medi" w:cs="Calibri" w:asciiTheme="minorAscii" w:hAnsiTheme="minorAscii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likun3@ebchinatech.com</w:t>
      </w:r>
      <w:r>
        <w:rPr>
          <w:rFonts w:hint="eastAsia" w:eastAsia="NimbusRomNo9L-Medi" w:cs="Calibri" w:asciiTheme="minorAscii" w:hAnsiTheme="minorAscii"/>
          <w:b w:val="0"/>
          <w:bCs w:val="0"/>
          <w:color w:val="000000"/>
          <w:kern w:val="0"/>
          <w:sz w:val="24"/>
          <w:szCs w:val="24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NimbusRomNo9L-Medi" w:cs="Calibri" w:asciiTheme="minorAscii" w:hAnsiTheme="minorAscii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eastAsia="NimbusRomNo9L-Medi" w:cs="Calibri" w:asciiTheme="minorAscii" w:hAnsiTheme="minorAscii"/>
          <w:b w:val="0"/>
          <w:bCs w:val="0"/>
          <w:color w:val="00000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eastAsia="NimbusRomNo9L-Medi" w:cs="Calibri" w:asciiTheme="minorAscii" w:hAnsiTheme="minorAscii"/>
          <w:b w:val="0"/>
          <w:bCs w:val="0"/>
          <w:color w:val="000000"/>
          <w:kern w:val="0"/>
          <w:sz w:val="24"/>
          <w:szCs w:val="24"/>
          <w:lang w:val="en-US" w:eastAsia="zh-CN" w:bidi="ar"/>
        </w:rPr>
        <w:instrText xml:space="preserve"> HYPERLINK "mailto:zhengfanglan@ebchinatech.com" </w:instrText>
      </w:r>
      <w:r>
        <w:rPr>
          <w:rFonts w:hint="eastAsia" w:eastAsia="NimbusRomNo9L-Medi" w:cs="Calibri" w:asciiTheme="minorAscii" w:hAnsiTheme="minorAscii"/>
          <w:b w:val="0"/>
          <w:bCs w:val="0"/>
          <w:color w:val="000000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5"/>
          <w:rFonts w:hint="eastAsia" w:eastAsia="NimbusRomNo9L-Medi" w:cs="Calibri" w:asciiTheme="minorAscii" w:hAnsiTheme="minorAscii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zhengfanglan@ebchinatech.com</w:t>
      </w:r>
      <w:r>
        <w:rPr>
          <w:rFonts w:hint="eastAsia" w:eastAsia="NimbusRomNo9L-Medi" w:cs="Calibri" w:asciiTheme="minorAscii" w:hAnsiTheme="minorAscii"/>
          <w:b w:val="0"/>
          <w:bCs w:val="0"/>
          <w:color w:val="000000"/>
          <w:kern w:val="0"/>
          <w:sz w:val="24"/>
          <w:szCs w:val="24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NimbusRomNo9L-Medi" w:cs="Calibri" w:asciiTheme="minorAscii" w:hAnsiTheme="minorAscii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eastAsia="NimbusRomNo9L-Medi" w:cs="Calibri" w:asciiTheme="minorAscii" w:hAnsiTheme="minorAscii"/>
          <w:b w:val="0"/>
          <w:bCs w:val="0"/>
          <w:color w:val="00000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eastAsia="NimbusRomNo9L-Medi" w:cs="Calibri" w:asciiTheme="minorAscii" w:hAnsiTheme="minorAscii"/>
          <w:b w:val="0"/>
          <w:bCs w:val="0"/>
          <w:color w:val="000000"/>
          <w:kern w:val="0"/>
          <w:sz w:val="24"/>
          <w:szCs w:val="24"/>
          <w:lang w:val="en-US" w:eastAsia="zh-CN" w:bidi="ar"/>
        </w:rPr>
        <w:instrText xml:space="preserve"> HYPERLINK "mailto:tianjiang@ebchinatech.com" </w:instrText>
      </w:r>
      <w:r>
        <w:rPr>
          <w:rFonts w:hint="eastAsia" w:eastAsia="NimbusRomNo9L-Medi" w:cs="Calibri" w:asciiTheme="minorAscii" w:hAnsiTheme="minorAscii"/>
          <w:b w:val="0"/>
          <w:bCs w:val="0"/>
          <w:color w:val="000000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5"/>
          <w:rFonts w:hint="eastAsia" w:eastAsia="NimbusRomNo9L-Medi" w:cs="Calibri" w:asciiTheme="minorAscii" w:hAnsiTheme="minorAscii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tianjiang@ebchinatech.com</w:t>
      </w:r>
      <w:r>
        <w:rPr>
          <w:rFonts w:hint="eastAsia" w:eastAsia="NimbusRomNo9L-Medi" w:cs="Calibri" w:asciiTheme="minorAscii" w:hAnsiTheme="minorAscii"/>
          <w:b w:val="0"/>
          <w:bCs w:val="0"/>
          <w:color w:val="000000"/>
          <w:kern w:val="0"/>
          <w:sz w:val="24"/>
          <w:szCs w:val="24"/>
          <w:lang w:val="en-US" w:eastAsia="zh-CN" w:bidi="ar"/>
        </w:rPr>
        <w:fldChar w:fldCharType="end"/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NimbusRomNo9L-Medi" w:cs="Calibri" w:asciiTheme="minorAscii" w:hAnsiTheme="minorAscii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eastAsia="NimbusRomNo9L-Medi" w:cs="Calibri" w:asciiTheme="minorAscii" w:hAnsiTheme="minorAscii"/>
          <w:b w:val="0"/>
          <w:bCs w:val="0"/>
          <w:color w:val="00000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eastAsia="NimbusRomNo9L-Medi" w:cs="Calibri" w:asciiTheme="minorAscii" w:hAnsiTheme="minorAscii"/>
          <w:b w:val="0"/>
          <w:bCs w:val="0"/>
          <w:color w:val="000000"/>
          <w:kern w:val="0"/>
          <w:sz w:val="24"/>
          <w:szCs w:val="24"/>
          <w:lang w:val="en-US" w:eastAsia="zh-CN" w:bidi="ar"/>
        </w:rPr>
        <w:instrText xml:space="preserve"> HYPERLINK "mailto:xiangxiaojia@ebchinatech.com" </w:instrText>
      </w:r>
      <w:r>
        <w:rPr>
          <w:rFonts w:hint="eastAsia" w:eastAsia="NimbusRomNo9L-Medi" w:cs="Calibri" w:asciiTheme="minorAscii" w:hAnsiTheme="minorAscii"/>
          <w:b w:val="0"/>
          <w:bCs w:val="0"/>
          <w:color w:val="000000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5"/>
          <w:rFonts w:hint="eastAsia" w:eastAsia="NimbusRomNo9L-Medi" w:cs="Calibri" w:asciiTheme="minorAscii" w:hAnsiTheme="minorAscii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xiangxiaojia@ebchinatech.com</w:t>
      </w:r>
      <w:r>
        <w:rPr>
          <w:rFonts w:hint="eastAsia" w:eastAsia="NimbusRomNo9L-Medi" w:cs="Calibri" w:asciiTheme="minorAscii" w:hAnsiTheme="minorAscii"/>
          <w:b w:val="0"/>
          <w:bCs w:val="0"/>
          <w:color w:val="000000"/>
          <w:kern w:val="0"/>
          <w:sz w:val="24"/>
          <w:szCs w:val="24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eastAsia="NimbusRomNo9L-Medi" w:cs="Calibri" w:asciiTheme="minorAscii" w:hAnsiTheme="minorAscii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Theme="minorAscii" w:hAnsiTheme="minorAscii"/>
          <w:sz w:val="24"/>
          <w:szCs w:val="24"/>
          <w:lang w:val="en-US" w:eastAsia="zh-CN"/>
        </w:rPr>
      </w:pPr>
      <w:r>
        <w:rPr>
          <w:rFonts w:hint="default" w:asciiTheme="minorAscii" w:hAnsiTheme="minorAscii"/>
          <w:sz w:val="24"/>
          <w:szCs w:val="24"/>
        </w:rPr>
        <w:t xml:space="preserve">Credit scoring models </w:t>
      </w:r>
      <w:r>
        <w:rPr>
          <w:rFonts w:hint="default" w:asciiTheme="minorAscii" w:hAnsiTheme="minorAscii"/>
          <w:sz w:val="24"/>
          <w:szCs w:val="24"/>
          <w:lang w:val="en-US" w:eastAsia="zh-CN"/>
        </w:rPr>
        <w:t xml:space="preserve">to predict the probability of </w:t>
      </w:r>
      <w:r>
        <w:rPr>
          <w:rFonts w:hint="eastAsia" w:asciiTheme="minorAscii" w:hAnsiTheme="minorAscii"/>
          <w:sz w:val="24"/>
          <w:szCs w:val="24"/>
          <w:lang w:val="en-US" w:eastAsia="zh-CN"/>
        </w:rPr>
        <w:t>default</w:t>
      </w:r>
      <w:r>
        <w:rPr>
          <w:rFonts w:hint="default" w:asciiTheme="minorAscii" w:hAnsiTheme="minorAscii"/>
          <w:sz w:val="24"/>
          <w:szCs w:val="24"/>
          <w:lang w:val="en-US" w:eastAsia="zh-CN"/>
        </w:rPr>
        <w:t xml:space="preserve"> for credits in commercial banks are usually estimated on independent and identically distributed (i.i.d) hypothesis. However, </w:t>
      </w:r>
      <w:r>
        <w:rPr>
          <w:rFonts w:hint="eastAsia" w:asciiTheme="minorAscii" w:hAnsiTheme="minorAscii"/>
          <w:sz w:val="24"/>
          <w:szCs w:val="24"/>
          <w:lang w:val="en-US" w:eastAsia="zh-CN"/>
        </w:rPr>
        <w:t>this</w:t>
      </w:r>
      <w:r>
        <w:rPr>
          <w:rFonts w:hint="default" w:asciiTheme="minorAscii" w:hAnsiTheme="minorAscii"/>
          <w:sz w:val="24"/>
          <w:szCs w:val="24"/>
          <w:lang w:val="en-US" w:eastAsia="zh-CN"/>
        </w:rPr>
        <w:t xml:space="preserve"> assumption is too idealistic to commonly appear in real scenarios, due to the agnostic sample selection bias. </w:t>
      </w:r>
      <w:r>
        <w:rPr>
          <w:rFonts w:hint="default" w:asciiTheme="minorAscii" w:hAnsiTheme="minorAscii"/>
          <w:sz w:val="24"/>
          <w:szCs w:val="24"/>
        </w:rPr>
        <w:t xml:space="preserve">This </w:t>
      </w:r>
      <w:r>
        <w:rPr>
          <w:rFonts w:hint="default" w:asciiTheme="minorAscii" w:hAnsiTheme="minorAscii"/>
          <w:sz w:val="24"/>
          <w:szCs w:val="24"/>
          <w:lang w:val="en-US" w:eastAsia="zh-CN"/>
        </w:rPr>
        <w:t>inevitably</w:t>
      </w:r>
      <w:r>
        <w:rPr>
          <w:rFonts w:hint="default" w:asciiTheme="minorAscii" w:hAnsiTheme="minorAscii"/>
          <w:sz w:val="24"/>
          <w:szCs w:val="24"/>
        </w:rPr>
        <w:t xml:space="preserve"> lead</w:t>
      </w:r>
      <w:r>
        <w:rPr>
          <w:rFonts w:hint="default" w:asciiTheme="minorAscii" w:hAnsiTheme="minorAscii"/>
          <w:sz w:val="24"/>
          <w:szCs w:val="24"/>
          <w:lang w:val="en-US" w:eastAsia="zh-CN"/>
        </w:rPr>
        <w:t>s</w:t>
      </w:r>
      <w:r>
        <w:rPr>
          <w:rFonts w:hint="default" w:asciiTheme="minorAscii" w:hAnsiTheme="minorAscii"/>
          <w:sz w:val="24"/>
          <w:szCs w:val="24"/>
        </w:rPr>
        <w:t xml:space="preserve"> to </w:t>
      </w:r>
      <w:r>
        <w:rPr>
          <w:rFonts w:hint="default" w:asciiTheme="minorAscii" w:hAnsiTheme="minorAscii"/>
          <w:sz w:val="24"/>
          <w:szCs w:val="24"/>
          <w:lang w:val="en-US" w:eastAsia="zh-CN"/>
        </w:rPr>
        <w:t xml:space="preserve">the fact that scorecard </w:t>
      </w:r>
      <w:r>
        <w:rPr>
          <w:rFonts w:hint="eastAsia" w:asciiTheme="minorAscii" w:hAnsiTheme="minorAscii"/>
          <w:sz w:val="24"/>
          <w:szCs w:val="24"/>
          <w:lang w:val="en-US" w:eastAsia="zh-CN"/>
        </w:rPr>
        <w:t>model</w:t>
      </w:r>
      <w:r>
        <w:rPr>
          <w:rFonts w:hint="default" w:asciiTheme="minorAscii" w:hAnsiTheme="minorAscii"/>
          <w:sz w:val="24"/>
          <w:szCs w:val="24"/>
          <w:lang w:val="en-US" w:eastAsia="zh-CN"/>
        </w:rPr>
        <w:t>’</w:t>
      </w:r>
      <w:r>
        <w:rPr>
          <w:rFonts w:hint="eastAsia" w:asciiTheme="minorAscii" w:hAnsiTheme="minorAscii"/>
          <w:sz w:val="24"/>
          <w:szCs w:val="24"/>
          <w:lang w:val="en-US" w:eastAsia="zh-CN"/>
        </w:rPr>
        <w:t xml:space="preserve">s stability and </w:t>
      </w:r>
      <w:r>
        <w:rPr>
          <w:rFonts w:hint="default" w:asciiTheme="minorAscii" w:hAnsiTheme="minorAscii"/>
          <w:sz w:val="24"/>
          <w:szCs w:val="24"/>
          <w:lang w:val="en-US" w:eastAsia="zh-CN"/>
        </w:rPr>
        <w:t xml:space="preserve">generalization </w:t>
      </w:r>
      <w:r>
        <w:rPr>
          <w:rFonts w:hint="eastAsia" w:asciiTheme="minorAscii" w:hAnsiTheme="minorAscii"/>
          <w:sz w:val="24"/>
          <w:szCs w:val="24"/>
          <w:lang w:val="en-US" w:eastAsia="zh-CN"/>
        </w:rPr>
        <w:t xml:space="preserve">often </w:t>
      </w:r>
      <w:r>
        <w:rPr>
          <w:rFonts w:hint="default" w:asciiTheme="minorAscii" w:hAnsiTheme="minorAscii"/>
          <w:sz w:val="24"/>
          <w:szCs w:val="24"/>
          <w:lang w:val="en-US" w:eastAsia="zh-CN"/>
        </w:rPr>
        <w:t xml:space="preserve">fail across different domains. Moreover, </w:t>
      </w:r>
      <w:r>
        <w:rPr>
          <w:rFonts w:hint="eastAsia" w:asciiTheme="minorAscii" w:hAnsiTheme="minorAscii"/>
          <w:sz w:val="24"/>
          <w:szCs w:val="24"/>
          <w:lang w:val="en-US" w:eastAsia="zh-CN"/>
        </w:rPr>
        <w:t>the data in new domain is usually not available during model training, which makes transfer learning infeasible with the lack of prior information of new distribution.</w:t>
      </w:r>
      <w:r>
        <w:rPr>
          <w:rFonts w:hint="default" w:asciiTheme="minorAscii" w:hAnsiTheme="minorAscii"/>
          <w:sz w:val="24"/>
          <w:szCs w:val="24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Theme="minorAscii" w:hAnsiTheme="minorAscii"/>
          <w:sz w:val="24"/>
          <w:szCs w:val="24"/>
          <w:lang w:val="en-US" w:eastAsia="zh-CN"/>
        </w:rPr>
      </w:pPr>
      <w:r>
        <w:rPr>
          <w:rFonts w:hint="default" w:asciiTheme="minorAscii" w:hAnsiTheme="minorAscii"/>
          <w:sz w:val="24"/>
          <w:szCs w:val="24"/>
          <w:lang w:val="en-US" w:eastAsia="zh-CN"/>
        </w:rPr>
        <w:t xml:space="preserve">In order to solve the above problems, we bring causality into predictive modeling and propose a novel stable scorecard model, namely SSCM in this manuscript. As far as the specific loss function is concerned in SSCM, it consists of </w:t>
      </w:r>
      <w:r>
        <w:rPr>
          <w:rFonts w:hint="eastAsia" w:asciiTheme="minorAscii" w:hAnsiTheme="minorAscii"/>
          <w:sz w:val="24"/>
          <w:szCs w:val="24"/>
          <w:lang w:val="en-US" w:eastAsia="zh-CN"/>
        </w:rPr>
        <w:t xml:space="preserve">two terms, </w:t>
      </w:r>
      <w:r>
        <w:rPr>
          <w:rFonts w:hint="default" w:asciiTheme="minorAscii" w:hAnsiTheme="minorAscii"/>
          <w:sz w:val="24"/>
          <w:szCs w:val="24"/>
          <w:lang w:val="en-US" w:eastAsia="zh-CN"/>
        </w:rPr>
        <w:t>weighted cross entropy and global confounder balancing</w:t>
      </w:r>
      <w:r>
        <w:rPr>
          <w:rFonts w:hint="eastAsia" w:asciiTheme="minorAscii" w:hAnsiTheme="minorAscii"/>
          <w:sz w:val="24"/>
          <w:szCs w:val="24"/>
          <w:lang w:val="en-US" w:eastAsia="zh-CN"/>
        </w:rPr>
        <w:t xml:space="preserve">, respectively. The latter, </w:t>
      </w:r>
      <w:r>
        <w:rPr>
          <w:rFonts w:hint="default" w:asciiTheme="minorAscii" w:hAnsiTheme="minorAscii"/>
          <w:sz w:val="24"/>
          <w:szCs w:val="24"/>
          <w:lang w:val="en-US" w:eastAsia="zh-CN"/>
        </w:rPr>
        <w:t>defined as a rigorous regulation in identifying and screening causal variables, is well recognized.</w:t>
      </w:r>
      <w:r>
        <w:rPr>
          <w:rFonts w:hint="eastAsia" w:asciiTheme="minorAscii" w:hAnsiTheme="minorAscii"/>
          <w:sz w:val="24"/>
          <w:szCs w:val="24"/>
          <w:lang w:val="en-US" w:eastAsia="zh-CN"/>
        </w:rPr>
        <w:t xml:space="preserve"> Both of them</w:t>
      </w:r>
      <w:r>
        <w:rPr>
          <w:rFonts w:hint="default" w:asciiTheme="minorAscii" w:hAnsiTheme="minorAscii"/>
          <w:sz w:val="24"/>
          <w:szCs w:val="24"/>
          <w:lang w:val="en-US" w:eastAsia="zh-CN"/>
        </w:rPr>
        <w:t xml:space="preserve"> </w:t>
      </w:r>
      <w:r>
        <w:rPr>
          <w:rFonts w:hint="eastAsia" w:asciiTheme="minorAscii" w:hAnsiTheme="minorAscii"/>
          <w:sz w:val="24"/>
          <w:szCs w:val="24"/>
          <w:lang w:val="en-US" w:eastAsia="zh-CN"/>
        </w:rPr>
        <w:t>are</w:t>
      </w:r>
      <w:r>
        <w:rPr>
          <w:rFonts w:hint="default" w:asciiTheme="minorAscii" w:hAnsiTheme="minorAscii"/>
          <w:sz w:val="24"/>
          <w:szCs w:val="24"/>
          <w:lang w:val="en-US" w:eastAsia="zh-CN"/>
        </w:rPr>
        <w:t xml:space="preserve"> jointly optimized in an effective manner. It leads to the stabilization of input variables, whose conditional probability distribution remain invariant across different domains. Accordingly, a predictive scorecard is formed with outstanding robustness</w:t>
      </w:r>
      <w:r>
        <w:rPr>
          <w:rFonts w:hint="eastAsia" w:asciiTheme="minorAscii" w:hAnsiTheme="minorAscii"/>
          <w:sz w:val="24"/>
          <w:szCs w:val="24"/>
          <w:lang w:val="en-US" w:eastAsia="zh-CN"/>
        </w:rPr>
        <w:t>, and</w:t>
      </w:r>
      <w:r>
        <w:rPr>
          <w:rFonts w:hint="default" w:asciiTheme="minorAscii" w:hAnsiTheme="minorAscii"/>
          <w:sz w:val="24"/>
          <w:szCs w:val="24"/>
          <w:lang w:val="en-US" w:eastAsia="zh-CN"/>
        </w:rPr>
        <w:t xml:space="preserve"> interpretability</w:t>
      </w:r>
      <w:r>
        <w:rPr>
          <w:rFonts w:hint="eastAsia" w:asciiTheme="minorAscii" w:hAnsiTheme="minorAscii"/>
          <w:sz w:val="24"/>
          <w:szCs w:val="24"/>
          <w:lang w:val="en-US" w:eastAsia="zh-CN"/>
        </w:rPr>
        <w:t xml:space="preserve"> </w:t>
      </w:r>
      <w:r>
        <w:rPr>
          <w:rFonts w:hint="default" w:asciiTheme="minorAscii" w:hAnsiTheme="minorAscii"/>
          <w:sz w:val="24"/>
          <w:szCs w:val="24"/>
          <w:lang w:val="en-US" w:eastAsia="zh-CN"/>
        </w:rPr>
        <w:t>as well. Furthermore, the effectiveness of our SSCM  is</w:t>
      </w:r>
      <w:r>
        <w:rPr>
          <w:rFonts w:hint="eastAsia" w:asciiTheme="minorAscii" w:hAnsiTheme="minorAscii"/>
          <w:sz w:val="24"/>
          <w:szCs w:val="24"/>
          <w:lang w:val="en-US" w:eastAsia="zh-CN"/>
        </w:rPr>
        <w:t xml:space="preserve"> </w:t>
      </w:r>
      <w:r>
        <w:rPr>
          <w:rFonts w:hint="default" w:asciiTheme="minorAscii" w:hAnsiTheme="minorAscii"/>
          <w:sz w:val="24"/>
          <w:szCs w:val="24"/>
          <w:lang w:val="en-US" w:eastAsia="zh-CN"/>
        </w:rPr>
        <w:t>validated from both mathematics and model evaluation perspective. Experimental results</w:t>
      </w:r>
      <w:r>
        <w:rPr>
          <w:rFonts w:hint="eastAsia" w:asciiTheme="minorAscii" w:hAnsiTheme="minorAscii"/>
          <w:sz w:val="24"/>
          <w:szCs w:val="24"/>
          <w:lang w:val="en-US" w:eastAsia="zh-CN"/>
        </w:rPr>
        <w:t xml:space="preserve"> of synthetic and real world datasets</w:t>
      </w:r>
      <w:r>
        <w:rPr>
          <w:rFonts w:hint="default" w:asciiTheme="minorAscii" w:hAnsiTheme="minorAscii"/>
          <w:sz w:val="24"/>
          <w:szCs w:val="24"/>
          <w:lang w:val="en-US" w:eastAsia="zh-CN"/>
        </w:rPr>
        <w:t xml:space="preserve"> show obviously that SSCM outperforms the traditional correlation-based scorecard.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Theme="minorAscii" w:hAnsiTheme="minorAscii"/>
          <w:sz w:val="24"/>
          <w:szCs w:val="24"/>
        </w:rPr>
      </w:pPr>
      <w:r>
        <w:rPr>
          <w:rFonts w:hint="default" w:eastAsia="NimbusRomNo9L-Regu" w:cs="NimbusRomNo9L-Regu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At present, </w:t>
      </w:r>
      <w:r>
        <w:rPr>
          <w:rFonts w:hint="default" w:asciiTheme="minorAscii" w:hAnsiTheme="minorAscii"/>
          <w:sz w:val="24"/>
          <w:szCs w:val="24"/>
          <w:lang w:val="en-US" w:eastAsia="zh-CN"/>
        </w:rPr>
        <w:t>SSCM</w:t>
      </w:r>
      <w:r>
        <w:rPr>
          <w:rFonts w:hint="default" w:eastAsia="NimbusRomNo9L-Regu" w:cs="NimbusRomNo9L-Regu" w:asciiTheme="minorAscii" w:hAnsiTheme="minorAscii"/>
          <w:color w:val="000000"/>
          <w:kern w:val="0"/>
          <w:sz w:val="24"/>
          <w:szCs w:val="24"/>
          <w:lang w:val="en-US" w:eastAsia="zh-CN" w:bidi="ar"/>
        </w:rPr>
        <w:t xml:space="preserve"> has already been applied to multiple business, including credit card application and precision marketing, in a China nation-wide financial holdings group.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NimbusRomNo9L-Med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RomNo9L-Reg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42A13"/>
    <w:rsid w:val="01AA19E0"/>
    <w:rsid w:val="01EB5B4D"/>
    <w:rsid w:val="03DA0C19"/>
    <w:rsid w:val="060F5531"/>
    <w:rsid w:val="07614BF2"/>
    <w:rsid w:val="07952615"/>
    <w:rsid w:val="0A9C4BF0"/>
    <w:rsid w:val="0BA51DBB"/>
    <w:rsid w:val="1064392A"/>
    <w:rsid w:val="108B2AD7"/>
    <w:rsid w:val="11910DE0"/>
    <w:rsid w:val="13235CCC"/>
    <w:rsid w:val="13442A13"/>
    <w:rsid w:val="13497C7B"/>
    <w:rsid w:val="14681418"/>
    <w:rsid w:val="15463CDC"/>
    <w:rsid w:val="15BA563D"/>
    <w:rsid w:val="16F07E17"/>
    <w:rsid w:val="176B6355"/>
    <w:rsid w:val="17FB5284"/>
    <w:rsid w:val="18A6129A"/>
    <w:rsid w:val="190D067B"/>
    <w:rsid w:val="198436BC"/>
    <w:rsid w:val="199D3E27"/>
    <w:rsid w:val="1B404CB5"/>
    <w:rsid w:val="1C2A7D9B"/>
    <w:rsid w:val="1D240C6C"/>
    <w:rsid w:val="1D453C9E"/>
    <w:rsid w:val="1DEE3FD2"/>
    <w:rsid w:val="1E056133"/>
    <w:rsid w:val="1E2C3B72"/>
    <w:rsid w:val="1E9C5291"/>
    <w:rsid w:val="1FB7685F"/>
    <w:rsid w:val="20C23862"/>
    <w:rsid w:val="21A23574"/>
    <w:rsid w:val="23C35958"/>
    <w:rsid w:val="24215DC9"/>
    <w:rsid w:val="24B16855"/>
    <w:rsid w:val="24CB34F8"/>
    <w:rsid w:val="25F048C9"/>
    <w:rsid w:val="27C44E3E"/>
    <w:rsid w:val="27EA7E50"/>
    <w:rsid w:val="29AE3DD3"/>
    <w:rsid w:val="2C0F3159"/>
    <w:rsid w:val="2C8C31E8"/>
    <w:rsid w:val="2EFF3AAD"/>
    <w:rsid w:val="32037AD8"/>
    <w:rsid w:val="34684E84"/>
    <w:rsid w:val="348732AF"/>
    <w:rsid w:val="34A60DD9"/>
    <w:rsid w:val="375D02DE"/>
    <w:rsid w:val="37C72649"/>
    <w:rsid w:val="37DF24BD"/>
    <w:rsid w:val="380C6064"/>
    <w:rsid w:val="38D815BF"/>
    <w:rsid w:val="39C452C7"/>
    <w:rsid w:val="39E66E05"/>
    <w:rsid w:val="40753218"/>
    <w:rsid w:val="412652E2"/>
    <w:rsid w:val="418422EC"/>
    <w:rsid w:val="419D3E63"/>
    <w:rsid w:val="41DE467D"/>
    <w:rsid w:val="420243CC"/>
    <w:rsid w:val="43605720"/>
    <w:rsid w:val="44914F77"/>
    <w:rsid w:val="4655432F"/>
    <w:rsid w:val="472774EF"/>
    <w:rsid w:val="4882102D"/>
    <w:rsid w:val="4AF547D4"/>
    <w:rsid w:val="4B087A85"/>
    <w:rsid w:val="4D183728"/>
    <w:rsid w:val="4F474947"/>
    <w:rsid w:val="504B0DE5"/>
    <w:rsid w:val="514C498A"/>
    <w:rsid w:val="525A1C44"/>
    <w:rsid w:val="53A03D2B"/>
    <w:rsid w:val="53F83737"/>
    <w:rsid w:val="54E445C0"/>
    <w:rsid w:val="57136E1D"/>
    <w:rsid w:val="59914095"/>
    <w:rsid w:val="59CF1437"/>
    <w:rsid w:val="5A3C6B2B"/>
    <w:rsid w:val="5AF6141F"/>
    <w:rsid w:val="5B29073D"/>
    <w:rsid w:val="5C4C1D62"/>
    <w:rsid w:val="5DB31F5A"/>
    <w:rsid w:val="5DB84326"/>
    <w:rsid w:val="62A244CF"/>
    <w:rsid w:val="6306412B"/>
    <w:rsid w:val="63B20F6D"/>
    <w:rsid w:val="63E6565F"/>
    <w:rsid w:val="64317B37"/>
    <w:rsid w:val="64C80AAC"/>
    <w:rsid w:val="64F147AC"/>
    <w:rsid w:val="666D5A05"/>
    <w:rsid w:val="66C17B50"/>
    <w:rsid w:val="6706794B"/>
    <w:rsid w:val="67402D7B"/>
    <w:rsid w:val="6780019B"/>
    <w:rsid w:val="688D1390"/>
    <w:rsid w:val="69A1200C"/>
    <w:rsid w:val="69DE079D"/>
    <w:rsid w:val="6A783D54"/>
    <w:rsid w:val="6B335213"/>
    <w:rsid w:val="6D8778FB"/>
    <w:rsid w:val="6E0E64ED"/>
    <w:rsid w:val="6E513AB3"/>
    <w:rsid w:val="6E8A0C97"/>
    <w:rsid w:val="703C201A"/>
    <w:rsid w:val="709F0AA0"/>
    <w:rsid w:val="70BA1BDB"/>
    <w:rsid w:val="70C46384"/>
    <w:rsid w:val="71D96AC9"/>
    <w:rsid w:val="727A11EC"/>
    <w:rsid w:val="768E1321"/>
    <w:rsid w:val="77C94F42"/>
    <w:rsid w:val="798049F2"/>
    <w:rsid w:val="798D30A2"/>
    <w:rsid w:val="79DA4E46"/>
    <w:rsid w:val="7A4C16CB"/>
    <w:rsid w:val="7C0B7A60"/>
    <w:rsid w:val="7F851D13"/>
    <w:rsid w:val="7FAB36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4.xml"/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29E8D8F9C248A67BA6C62E2A0AB5" ma:contentTypeVersion="13" ma:contentTypeDescription="Create a new document." ma:contentTypeScope="" ma:versionID="87784b368f40a2b1fd25c8686646045b">
  <xsd:schema xmlns:xsd="http://www.w3.org/2001/XMLSchema" xmlns:xs="http://www.w3.org/2001/XMLSchema" xmlns:p="http://schemas.microsoft.com/office/2006/metadata/properties" xmlns:ns2="c56ceb20-bdb2-4a98-8f73-13d2bdad91d8" xmlns:ns3="5a3676ca-3bec-484f-9e08-b005f199fbc4" targetNamespace="http://schemas.microsoft.com/office/2006/metadata/properties" ma:root="true" ma:fieldsID="23a14c6f418ea49d902411392885c88b" ns2:_="" ns3:_="">
    <xsd:import namespace="c56ceb20-bdb2-4a98-8f73-13d2bdad91d8"/>
    <xsd:import namespace="5a3676ca-3bec-484f-9e08-b005f199f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ceb20-bdb2-4a98-8f73-13d2bdad9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676ca-3bec-484f-9e08-b005f199f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BDD8AD-F4DE-41FA-BDE7-B6B6F476DDBC}"/>
</file>

<file path=customXml/itemProps3.xml><?xml version="1.0" encoding="utf-8"?>
<ds:datastoreItem xmlns:ds="http://schemas.openxmlformats.org/officeDocument/2006/customXml" ds:itemID="{EB4F9CF1-CBFD-4807-9930-0508A7F56BA7}"/>
</file>

<file path=customXml/itemProps4.xml><?xml version="1.0" encoding="utf-8"?>
<ds:datastoreItem xmlns:ds="http://schemas.openxmlformats.org/officeDocument/2006/customXml" ds:itemID="{A43459C9-D950-478D-AF5C-E48424FEBA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laser</dc:creator>
  <cp:lastModifiedBy>galoispure</cp:lastModifiedBy>
  <cp:revision>1</cp:revision>
  <dcterms:created xsi:type="dcterms:W3CDTF">2021-04-13T08:08:00Z</dcterms:created>
  <dcterms:modified xsi:type="dcterms:W3CDTF">2021-04-15T07:31:09Z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E3745B0C31B441B394E988FD6D03E83A</vt:lpwstr>
  </property>
  <property fmtid="{D5CDD505-2E9C-101B-9397-08002B2CF9AE}" pid="4" name="ContentTypeId">
    <vt:lpwstr>0x0101009CF929E8D8F9C248A67BA6C62E2A0AB5</vt:lpwstr>
  </property>
</Properties>
</file>