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11" w:type="dxa"/>
        <w:tblInd w:w="-572" w:type="dxa"/>
        <w:tblLook w:val="04A0" w:firstRow="1" w:lastRow="0" w:firstColumn="1" w:lastColumn="0" w:noHBand="0" w:noVBand="1"/>
      </w:tblPr>
      <w:tblGrid>
        <w:gridCol w:w="1701"/>
        <w:gridCol w:w="8810"/>
      </w:tblGrid>
      <w:tr w:rsidR="003129C7" w14:paraId="3EB42530" w14:textId="77777777" w:rsidTr="3FF2E0F2">
        <w:tc>
          <w:tcPr>
            <w:tcW w:w="10511" w:type="dxa"/>
            <w:gridSpan w:val="2"/>
          </w:tcPr>
          <w:p w14:paraId="7825016A" w14:textId="2AF5788A" w:rsidR="003129C7" w:rsidRDefault="003129C7">
            <w:r>
              <w:rPr>
                <w:noProof/>
              </w:rPr>
              <w:drawing>
                <wp:inline distT="0" distB="0" distL="0" distR="0" wp14:anchorId="261E02E7" wp14:editId="12058E3A">
                  <wp:extent cx="6537750" cy="30537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750" cy="305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9C7" w14:paraId="4B3A2C44" w14:textId="77777777" w:rsidTr="3FF2E0F2">
        <w:tc>
          <w:tcPr>
            <w:tcW w:w="1701" w:type="dxa"/>
          </w:tcPr>
          <w:p w14:paraId="200368A6" w14:textId="4962F331" w:rsidR="003129C7" w:rsidRPr="003129C7" w:rsidRDefault="003129C7" w:rsidP="00C02832">
            <w:pPr>
              <w:spacing w:after="120"/>
              <w:rPr>
                <w:b/>
                <w:bCs/>
              </w:rPr>
            </w:pPr>
            <w:r w:rsidRPr="003129C7">
              <w:rPr>
                <w:b/>
                <w:bCs/>
              </w:rPr>
              <w:t>Subject:</w:t>
            </w:r>
          </w:p>
        </w:tc>
        <w:tc>
          <w:tcPr>
            <w:tcW w:w="8810" w:type="dxa"/>
          </w:tcPr>
          <w:p w14:paraId="3DD26359" w14:textId="4525EBC0" w:rsidR="003129C7" w:rsidRDefault="003129C7" w:rsidP="00C02832">
            <w:pPr>
              <w:spacing w:after="120"/>
            </w:pPr>
            <w:r>
              <w:t>Embedding IRB and IFRS9 Model Structures into Forecasting and Stress Testing Solutions</w:t>
            </w:r>
          </w:p>
        </w:tc>
      </w:tr>
      <w:tr w:rsidR="003129C7" w14:paraId="7673AD3F" w14:textId="77777777" w:rsidTr="3FF2E0F2">
        <w:tc>
          <w:tcPr>
            <w:tcW w:w="1701" w:type="dxa"/>
          </w:tcPr>
          <w:p w14:paraId="11C10BDD" w14:textId="6F147124" w:rsidR="003129C7" w:rsidRPr="003129C7" w:rsidRDefault="003129C7" w:rsidP="00C02832">
            <w:pPr>
              <w:spacing w:after="120"/>
              <w:rPr>
                <w:b/>
                <w:bCs/>
              </w:rPr>
            </w:pPr>
            <w:r w:rsidRPr="003129C7">
              <w:rPr>
                <w:b/>
                <w:bCs/>
              </w:rPr>
              <w:t>Authors:</w:t>
            </w:r>
          </w:p>
        </w:tc>
        <w:tc>
          <w:tcPr>
            <w:tcW w:w="8810" w:type="dxa"/>
          </w:tcPr>
          <w:p w14:paraId="35F0EAFD" w14:textId="5B930DE6" w:rsidR="003129C7" w:rsidRDefault="003129C7" w:rsidP="004A6337">
            <w:pPr>
              <w:spacing w:after="120"/>
            </w:pPr>
            <w:r>
              <w:t>Elena Rudakova &amp; Andy Johnson</w:t>
            </w:r>
            <w:r w:rsidR="004A6337">
              <w:t>,</w:t>
            </w:r>
            <w:r w:rsidR="006B1CE6">
              <w:t xml:space="preserve"> </w:t>
            </w:r>
            <w:r>
              <w:t>Leeds Building Society</w:t>
            </w:r>
          </w:p>
        </w:tc>
      </w:tr>
      <w:tr w:rsidR="003129C7" w14:paraId="6CE6A677" w14:textId="77777777" w:rsidTr="3FF2E0F2">
        <w:tc>
          <w:tcPr>
            <w:tcW w:w="10511" w:type="dxa"/>
            <w:gridSpan w:val="2"/>
          </w:tcPr>
          <w:p w14:paraId="31D84AD9" w14:textId="7E6A91EC" w:rsidR="003129C7" w:rsidRPr="003129C7" w:rsidRDefault="003129C7" w:rsidP="00F54BA7">
            <w:pPr>
              <w:jc w:val="both"/>
              <w:rPr>
                <w:b/>
                <w:bCs/>
              </w:rPr>
            </w:pPr>
            <w:r w:rsidRPr="003129C7">
              <w:rPr>
                <w:b/>
                <w:bCs/>
              </w:rPr>
              <w:t>Abstract:</w:t>
            </w:r>
          </w:p>
          <w:p w14:paraId="3AA89F15" w14:textId="596D1520" w:rsidR="003129C7" w:rsidRDefault="003129C7" w:rsidP="00F54BA7">
            <w:pPr>
              <w:jc w:val="both"/>
            </w:pPr>
          </w:p>
          <w:p w14:paraId="7241CF3F" w14:textId="317531DC" w:rsidR="218D055A" w:rsidRDefault="218D055A" w:rsidP="004A6337">
            <w:pPr>
              <w:spacing w:after="120"/>
              <w:jc w:val="both"/>
            </w:pPr>
            <w:r>
              <w:t xml:space="preserve">Under Basel Pillar II, firms are required to provide evidence that their </w:t>
            </w:r>
            <w:r w:rsidR="00F00B96">
              <w:t>levels of</w:t>
            </w:r>
            <w:r>
              <w:t xml:space="preserve"> </w:t>
            </w:r>
            <w:r w:rsidR="006B1CE6">
              <w:t xml:space="preserve">regulatory </w:t>
            </w:r>
            <w:r>
              <w:t xml:space="preserve">capital remain </w:t>
            </w:r>
            <w:r w:rsidR="00EF6906">
              <w:t>appropriate for a</w:t>
            </w:r>
            <w:r w:rsidR="004535D4">
              <w:t xml:space="preserve"> </w:t>
            </w:r>
            <w:r>
              <w:t>severe</w:t>
            </w:r>
            <w:r w:rsidR="00167254">
              <w:t>ly</w:t>
            </w:r>
            <w:r>
              <w:t xml:space="preserve"> </w:t>
            </w:r>
            <w:r w:rsidR="00167254">
              <w:t>‘</w:t>
            </w:r>
            <w:r>
              <w:t>adverse</w:t>
            </w:r>
            <w:r w:rsidR="00167254">
              <w:t>’</w:t>
            </w:r>
            <w:r>
              <w:t xml:space="preserve"> </w:t>
            </w:r>
            <w:r w:rsidR="002462C8">
              <w:t xml:space="preserve">economic </w:t>
            </w:r>
            <w:r>
              <w:t>scenario</w:t>
            </w:r>
            <w:r w:rsidR="00AE16DD">
              <w:t xml:space="preserve">, through the </w:t>
            </w:r>
            <w:r w:rsidR="007A4EFF">
              <w:t>Internal</w:t>
            </w:r>
            <w:r w:rsidR="00AE16DD">
              <w:t xml:space="preserve"> Capital Adequacy Assessment Process (ICAAP)</w:t>
            </w:r>
            <w:r>
              <w:t xml:space="preserve">. A scenario-based forecasting and stress testing </w:t>
            </w:r>
            <w:r w:rsidR="003560AD">
              <w:t xml:space="preserve">model </w:t>
            </w:r>
            <w:r>
              <w:t>solution</w:t>
            </w:r>
            <w:r w:rsidR="003560AD">
              <w:t>, coupled with an adverse business plan</w:t>
            </w:r>
            <w:r w:rsidR="006B1CE6">
              <w:t xml:space="preserve"> for the scenario in question</w:t>
            </w:r>
            <w:r w:rsidR="00AE64ED">
              <w:t xml:space="preserve">, is typically used for this – typically the same solution </w:t>
            </w:r>
            <w:r w:rsidR="00252003">
              <w:t>which is used for business planning purposes under central / up</w:t>
            </w:r>
            <w:r w:rsidR="00063BB4">
              <w:t>-side</w:t>
            </w:r>
            <w:r w:rsidR="00252003">
              <w:t xml:space="preserve"> / less se</w:t>
            </w:r>
            <w:r w:rsidR="00063BB4">
              <w:t>vere</w:t>
            </w:r>
            <w:r w:rsidR="00252003">
              <w:t xml:space="preserve"> downside planning cycles</w:t>
            </w:r>
            <w:r>
              <w:t xml:space="preserve"> </w:t>
            </w:r>
            <w:r w:rsidR="0004445D">
              <w:t xml:space="preserve">– </w:t>
            </w:r>
            <w:r>
              <w:t>to project capital and provision position</w:t>
            </w:r>
            <w:r w:rsidR="004A6337">
              <w:t>s</w:t>
            </w:r>
            <w:r>
              <w:t xml:space="preserve"> for the next five years.</w:t>
            </w:r>
          </w:p>
          <w:p w14:paraId="53DDCF37" w14:textId="1E7DED23" w:rsidR="00DA583A" w:rsidRDefault="003129C7" w:rsidP="004A6337">
            <w:pPr>
              <w:spacing w:after="120"/>
              <w:jc w:val="both"/>
            </w:pPr>
            <w:r>
              <w:t xml:space="preserve">Over the past number of years, </w:t>
            </w:r>
            <w:r w:rsidR="00DA583A">
              <w:t xml:space="preserve">approaches to </w:t>
            </w:r>
            <w:r>
              <w:t xml:space="preserve">both </w:t>
            </w:r>
            <w:r w:rsidR="00111F1A">
              <w:t xml:space="preserve">[Pillar I] </w:t>
            </w:r>
            <w:r w:rsidR="00DA583A">
              <w:t xml:space="preserve">capital and </w:t>
            </w:r>
            <w:r w:rsidR="00111F1A">
              <w:t xml:space="preserve">[IFRS9] </w:t>
            </w:r>
            <w:r w:rsidR="00DA583A">
              <w:t>impairment modelling have undergone considerable transformation for residential mortgage</w:t>
            </w:r>
            <w:r w:rsidR="715C158D">
              <w:t xml:space="preserve">s, </w:t>
            </w:r>
            <w:r w:rsidR="00DA583A">
              <w:t>significantly increasing complexity and sophistication</w:t>
            </w:r>
            <w:r w:rsidR="00201A0D">
              <w:t xml:space="preserve"> of the model methodologies, underlying data usage, and technical skills to develop solutions</w:t>
            </w:r>
            <w:r w:rsidR="00DA583A">
              <w:t>:</w:t>
            </w:r>
          </w:p>
          <w:p w14:paraId="2A77CD67" w14:textId="2497B844" w:rsidR="00DA583A" w:rsidRDefault="003129C7" w:rsidP="004A6337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jc w:val="both"/>
            </w:pPr>
            <w:r w:rsidRPr="3FF2E0F2">
              <w:rPr>
                <w:b/>
                <w:bCs/>
              </w:rPr>
              <w:t>Pillar One IRB modelling</w:t>
            </w:r>
            <w:r w:rsidR="00DA583A" w:rsidRPr="3FF2E0F2">
              <w:rPr>
                <w:b/>
                <w:bCs/>
              </w:rPr>
              <w:t>.</w:t>
            </w:r>
            <w:r w:rsidR="00DA583A">
              <w:t xml:space="preserve"> Most UK and European lenders are </w:t>
            </w:r>
            <w:r w:rsidR="00B86861">
              <w:t xml:space="preserve">currently </w:t>
            </w:r>
            <w:r w:rsidR="00DA583A">
              <w:t>rebuilding their models to satisfy emerging prudential regulation, taking effect from 1</w:t>
            </w:r>
            <w:r w:rsidR="00DA583A" w:rsidRPr="3FF2E0F2">
              <w:rPr>
                <w:vertAlign w:val="superscript"/>
              </w:rPr>
              <w:t>st</w:t>
            </w:r>
            <w:r w:rsidR="00DA583A">
              <w:t xml:space="preserve"> January 202</w:t>
            </w:r>
            <w:r w:rsidR="00B86861">
              <w:t>2</w:t>
            </w:r>
            <w:r w:rsidR="00DA583A">
              <w:t>. Changes include Definition of Default, ‘Hybrid’ PD modelling, and definition of an economic downturn impacts upon LGD and EAD.</w:t>
            </w:r>
          </w:p>
          <w:p w14:paraId="6251CA07" w14:textId="51E9DEA3" w:rsidR="00DA583A" w:rsidRDefault="00DA583A" w:rsidP="004A6337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jc w:val="both"/>
            </w:pPr>
            <w:r w:rsidRPr="00DA583A">
              <w:rPr>
                <w:b/>
                <w:bCs/>
              </w:rPr>
              <w:t>IFRS9 ECL mo</w:t>
            </w:r>
            <w:r>
              <w:rPr>
                <w:b/>
                <w:bCs/>
              </w:rPr>
              <w:t>d</w:t>
            </w:r>
            <w:r w:rsidRPr="00DA583A">
              <w:rPr>
                <w:b/>
                <w:bCs/>
              </w:rPr>
              <w:t>elling.</w:t>
            </w:r>
            <w:r>
              <w:t xml:space="preserve"> Introduced the concepts of </w:t>
            </w:r>
            <w:r w:rsidR="00216478">
              <w:t>E</w:t>
            </w:r>
            <w:r>
              <w:t xml:space="preserve">xpected </w:t>
            </w:r>
            <w:r w:rsidR="00216478">
              <w:t>C</w:t>
            </w:r>
            <w:r>
              <w:t xml:space="preserve">redit </w:t>
            </w:r>
            <w:r w:rsidR="00216478">
              <w:t>L</w:t>
            </w:r>
            <w:r>
              <w:t xml:space="preserve">osses </w:t>
            </w:r>
            <w:r w:rsidR="00216478">
              <w:t xml:space="preserve">(ECLs) </w:t>
            </w:r>
            <w:r>
              <w:t xml:space="preserve">over the lifetime of exposures, resulting in increasingly sophisticated </w:t>
            </w:r>
            <w:r w:rsidR="00201A0D">
              <w:t>survival</w:t>
            </w:r>
            <w:r w:rsidR="00AC65E8">
              <w:t>-</w:t>
            </w:r>
            <w:r w:rsidR="00201A0D">
              <w:t xml:space="preserve">based </w:t>
            </w:r>
            <w:r>
              <w:t>approaches incor</w:t>
            </w:r>
            <w:r w:rsidR="00201A0D">
              <w:t>por</w:t>
            </w:r>
            <w:r>
              <w:t>ating eco</w:t>
            </w:r>
            <w:r w:rsidR="00201A0D">
              <w:t>nometrics</w:t>
            </w:r>
            <w:r>
              <w:t xml:space="preserve"> drivers and multiple ‘weighted’ scenarios.</w:t>
            </w:r>
          </w:p>
          <w:p w14:paraId="40C41D3A" w14:textId="332D7F80" w:rsidR="00A457CF" w:rsidRDefault="00E4088C" w:rsidP="00F54BA7">
            <w:pPr>
              <w:jc w:val="both"/>
            </w:pPr>
            <w:r>
              <w:t xml:space="preserve">Both of these </w:t>
            </w:r>
            <w:r w:rsidR="00C93FB1">
              <w:t xml:space="preserve">modelling </w:t>
            </w:r>
            <w:r>
              <w:t xml:space="preserve">solutions are applied to ‘static’ portfolios at a </w:t>
            </w:r>
            <w:r w:rsidR="00AC65E8">
              <w:t>fixed point, such as a month</w:t>
            </w:r>
            <w:r w:rsidR="00146AFC">
              <w:t xml:space="preserve"> or quarter</w:t>
            </w:r>
            <w:r>
              <w:t>-end</w:t>
            </w:r>
            <w:r w:rsidR="00AC65E8">
              <w:t xml:space="preserve"> position</w:t>
            </w:r>
            <w:r>
              <w:t xml:space="preserve">. </w:t>
            </w:r>
            <w:r w:rsidR="00AC65E8">
              <w:t>However, when considering forecasting and stress testing</w:t>
            </w:r>
            <w:r w:rsidR="00BD3BC9">
              <w:t xml:space="preserve"> </w:t>
            </w:r>
            <w:r w:rsidR="00A66961">
              <w:t xml:space="preserve">requirements for </w:t>
            </w:r>
            <w:r w:rsidR="00BD3BC9">
              <w:t>ICAAP</w:t>
            </w:r>
            <w:r w:rsidR="00A66961">
              <w:t>,</w:t>
            </w:r>
            <w:r w:rsidR="00AC65E8">
              <w:t xml:space="preserve"> an additional complexity is introduced</w:t>
            </w:r>
            <w:r w:rsidR="39A1F8E2">
              <w:t>:</w:t>
            </w:r>
            <w:r w:rsidR="00AC65E8">
              <w:t xml:space="preserve"> portfolio turnover – the addition of new business and attrition (redemptions)</w:t>
            </w:r>
            <w:r w:rsidR="00E15595">
              <w:t xml:space="preserve">, often based upon </w:t>
            </w:r>
            <w:r w:rsidR="00492530">
              <w:t xml:space="preserve">5+ year </w:t>
            </w:r>
            <w:r w:rsidR="00E15595">
              <w:t>economic scenarios which ha</w:t>
            </w:r>
            <w:r w:rsidR="00E93EFB">
              <w:t>ve never previously occurred</w:t>
            </w:r>
            <w:r w:rsidR="00AC65E8">
              <w:t xml:space="preserve">. </w:t>
            </w:r>
          </w:p>
          <w:p w14:paraId="6A9AC68C" w14:textId="77777777" w:rsidR="00A457CF" w:rsidRDefault="00A457CF" w:rsidP="00F54BA7">
            <w:pPr>
              <w:jc w:val="both"/>
            </w:pPr>
          </w:p>
          <w:p w14:paraId="49F34B5C" w14:textId="6BDE7715" w:rsidR="00DA583A" w:rsidRDefault="00A457CF" w:rsidP="00F54BA7">
            <w:pPr>
              <w:jc w:val="both"/>
            </w:pPr>
            <w:r>
              <w:t>This paper will consider h</w:t>
            </w:r>
            <w:r w:rsidR="00201A0D">
              <w:t xml:space="preserve">ow can these complex model structures </w:t>
            </w:r>
            <w:r w:rsidR="00AC65E8">
              <w:t xml:space="preserve">can </w:t>
            </w:r>
            <w:r w:rsidR="00201A0D">
              <w:t>be inc</w:t>
            </w:r>
            <w:r w:rsidR="00492530">
              <w:t>orporated</w:t>
            </w:r>
            <w:r w:rsidR="00201A0D">
              <w:t>, or emulated</w:t>
            </w:r>
            <w:r w:rsidR="00893FFE">
              <w:t xml:space="preserve"> effectively</w:t>
            </w:r>
            <w:r w:rsidR="00201A0D">
              <w:t>, in</w:t>
            </w:r>
            <w:r w:rsidR="003606DB">
              <w:t xml:space="preserve"> forecasting and stress testing solutions – aligning business planning and regulatory stress testing to the</w:t>
            </w:r>
            <w:r w:rsidR="00BA62BF">
              <w:t xml:space="preserve"> complex</w:t>
            </w:r>
            <w:r w:rsidR="003606DB">
              <w:t xml:space="preserve"> </w:t>
            </w:r>
            <w:r w:rsidR="00D91AFC">
              <w:t>IRB / IFRS9 models suites used to produce such estimates on an ongoing basis</w:t>
            </w:r>
            <w:r w:rsidR="00201A0D">
              <w:t>.</w:t>
            </w:r>
          </w:p>
          <w:p w14:paraId="3C576E51" w14:textId="012FEB2D" w:rsidR="00DA583A" w:rsidRDefault="00DA583A" w:rsidP="003129C7"/>
          <w:p w14:paraId="32727B08" w14:textId="51BC2A1E" w:rsidR="003129C7" w:rsidRDefault="003129C7" w:rsidP="003129C7"/>
        </w:tc>
      </w:tr>
    </w:tbl>
    <w:p w14:paraId="5A4E1E0A" w14:textId="77777777" w:rsidR="003129C7" w:rsidRDefault="003129C7"/>
    <w:sectPr w:rsidR="00312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39575" w14:textId="77777777" w:rsidR="00DA583A" w:rsidRDefault="00DA583A" w:rsidP="00DA583A">
      <w:pPr>
        <w:spacing w:after="0" w:line="240" w:lineRule="auto"/>
      </w:pPr>
      <w:r>
        <w:separator/>
      </w:r>
    </w:p>
  </w:endnote>
  <w:endnote w:type="continuationSeparator" w:id="0">
    <w:p w14:paraId="4D652D7B" w14:textId="77777777" w:rsidR="00DA583A" w:rsidRDefault="00DA583A" w:rsidP="00DA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462DD" w14:textId="77777777" w:rsidR="00DA583A" w:rsidRDefault="00DA5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6805" w14:textId="3B3B5B1F" w:rsidR="00DA583A" w:rsidRDefault="00DA583A">
    <w:pPr>
      <w:pStyle w:val="Footer"/>
    </w:pPr>
    <w:r w:rsidRPr="00DA583A">
      <w:rPr>
        <w:noProof/>
      </w:rPr>
      <w:drawing>
        <wp:inline distT="0" distB="0" distL="0" distR="0" wp14:anchorId="6F238628" wp14:editId="40DE9AD3">
          <wp:extent cx="2417762" cy="504825"/>
          <wp:effectExtent l="0" t="0" r="1905" b="0"/>
          <wp:docPr id="15365" name="Picture 3" descr="LBS_WEB_WHT_HORIZ.png">
            <a:extLst xmlns:a="http://schemas.openxmlformats.org/drawingml/2006/main">
              <a:ext uri="{FF2B5EF4-FFF2-40B4-BE49-F238E27FC236}">
                <a16:creationId xmlns:a16="http://schemas.microsoft.com/office/drawing/2014/main" id="{3CD39ED8-B74D-466E-8E48-6FDEB67782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" name="Picture 3" descr="LBS_WEB_WHT_HORIZ.png">
                    <a:extLst>
                      <a:ext uri="{FF2B5EF4-FFF2-40B4-BE49-F238E27FC236}">
                        <a16:creationId xmlns:a16="http://schemas.microsoft.com/office/drawing/2014/main" id="{3CD39ED8-B74D-466E-8E48-6FDEB67782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762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F9D4D" w14:textId="77777777" w:rsidR="00DA583A" w:rsidRDefault="00DA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14546" w14:textId="77777777" w:rsidR="00DA583A" w:rsidRDefault="00DA583A" w:rsidP="00DA583A">
      <w:pPr>
        <w:spacing w:after="0" w:line="240" w:lineRule="auto"/>
      </w:pPr>
      <w:r>
        <w:separator/>
      </w:r>
    </w:p>
  </w:footnote>
  <w:footnote w:type="continuationSeparator" w:id="0">
    <w:p w14:paraId="5F5EA0D6" w14:textId="77777777" w:rsidR="00DA583A" w:rsidRDefault="00DA583A" w:rsidP="00DA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0B542" w14:textId="77777777" w:rsidR="00DA583A" w:rsidRDefault="00DA5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73952" w14:textId="77777777" w:rsidR="00DA583A" w:rsidRDefault="00DA58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2D2ED" w14:textId="77777777" w:rsidR="00DA583A" w:rsidRDefault="00DA5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B08A5"/>
    <w:multiLevelType w:val="hybridMultilevel"/>
    <w:tmpl w:val="CACC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C7"/>
    <w:rsid w:val="0004445D"/>
    <w:rsid w:val="00063BB4"/>
    <w:rsid w:val="000D6C11"/>
    <w:rsid w:val="00111F1A"/>
    <w:rsid w:val="00146AFC"/>
    <w:rsid w:val="00167254"/>
    <w:rsid w:val="001C5411"/>
    <w:rsid w:val="00201A0D"/>
    <w:rsid w:val="00216478"/>
    <w:rsid w:val="002462C8"/>
    <w:rsid w:val="00252003"/>
    <w:rsid w:val="003129C7"/>
    <w:rsid w:val="003560AD"/>
    <w:rsid w:val="003606DB"/>
    <w:rsid w:val="004535D4"/>
    <w:rsid w:val="00492530"/>
    <w:rsid w:val="00494C46"/>
    <w:rsid w:val="004A6337"/>
    <w:rsid w:val="006B1CE6"/>
    <w:rsid w:val="00774764"/>
    <w:rsid w:val="007A4EFF"/>
    <w:rsid w:val="007D0481"/>
    <w:rsid w:val="00864137"/>
    <w:rsid w:val="00893FFE"/>
    <w:rsid w:val="00924430"/>
    <w:rsid w:val="00A457CF"/>
    <w:rsid w:val="00A66961"/>
    <w:rsid w:val="00A8651B"/>
    <w:rsid w:val="00AC65E8"/>
    <w:rsid w:val="00AE16DD"/>
    <w:rsid w:val="00AE64ED"/>
    <w:rsid w:val="00B86861"/>
    <w:rsid w:val="00BA62BF"/>
    <w:rsid w:val="00BD3BC9"/>
    <w:rsid w:val="00C02832"/>
    <w:rsid w:val="00C93FB1"/>
    <w:rsid w:val="00CC40B6"/>
    <w:rsid w:val="00D91AFC"/>
    <w:rsid w:val="00DA583A"/>
    <w:rsid w:val="00E15595"/>
    <w:rsid w:val="00E4088C"/>
    <w:rsid w:val="00E93EFB"/>
    <w:rsid w:val="00EF6906"/>
    <w:rsid w:val="00F00B96"/>
    <w:rsid w:val="00F54BA7"/>
    <w:rsid w:val="13B0D405"/>
    <w:rsid w:val="1BAAA118"/>
    <w:rsid w:val="1D3E8DEE"/>
    <w:rsid w:val="218D055A"/>
    <w:rsid w:val="2211FF11"/>
    <w:rsid w:val="391DC6C0"/>
    <w:rsid w:val="39A1F8E2"/>
    <w:rsid w:val="3FF2E0F2"/>
    <w:rsid w:val="4339F71E"/>
    <w:rsid w:val="4EB7881F"/>
    <w:rsid w:val="628BE08A"/>
    <w:rsid w:val="6F2E8919"/>
    <w:rsid w:val="715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F391"/>
  <w15:chartTrackingRefBased/>
  <w15:docId w15:val="{722D23AF-B824-42BD-8D92-13B5B56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83A"/>
  </w:style>
  <w:style w:type="paragraph" w:styleId="Footer">
    <w:name w:val="footer"/>
    <w:basedOn w:val="Normal"/>
    <w:link w:val="FooterChar"/>
    <w:uiPriority w:val="99"/>
    <w:unhideWhenUsed/>
    <w:rsid w:val="00DA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83A"/>
  </w:style>
  <w:style w:type="paragraph" w:styleId="ListParagraph">
    <w:name w:val="List Paragraph"/>
    <w:basedOn w:val="Normal"/>
    <w:uiPriority w:val="34"/>
    <w:qFormat/>
    <w:rsid w:val="00DA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23EB4-E76B-4EDF-8478-3FF8E2BEE54A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45d8aba-b7db-4135-b070-37f212e7a580"/>
    <ds:schemaRef ds:uri="054a129e-0389-4cde-80ca-df07fd5b9524"/>
  </ds:schemaRefs>
</ds:datastoreItem>
</file>

<file path=customXml/itemProps2.xml><?xml version="1.0" encoding="utf-8"?>
<ds:datastoreItem xmlns:ds="http://schemas.openxmlformats.org/officeDocument/2006/customXml" ds:itemID="{743F297D-DE2B-4349-B716-AEDC06B2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1E0EE-470D-495E-B4C4-91F28ABC0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Company>Leeds Building Society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Johnson</dc:creator>
  <cp:keywords/>
  <dc:description/>
  <cp:lastModifiedBy>Andy Johnson</cp:lastModifiedBy>
  <cp:revision>2</cp:revision>
  <dcterms:created xsi:type="dcterms:W3CDTF">2021-04-19T12:32:00Z</dcterms:created>
  <dcterms:modified xsi:type="dcterms:W3CDTF">2021-04-19T12:32:00Z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4e5b3d-cd74-4692-bcd4-6ee138f3edc7_Enabled">
    <vt:lpwstr>true</vt:lpwstr>
  </property>
  <property fmtid="{D5CDD505-2E9C-101B-9397-08002B2CF9AE}" pid="3" name="MSIP_Label_114e5b3d-cd74-4692-bcd4-6ee138f3edc7_SetDate">
    <vt:lpwstr>2021-04-15T13:06:40Z</vt:lpwstr>
  </property>
  <property fmtid="{D5CDD505-2E9C-101B-9397-08002B2CF9AE}" pid="4" name="MSIP_Label_114e5b3d-cd74-4692-bcd4-6ee138f3edc7_Method">
    <vt:lpwstr>Standard</vt:lpwstr>
  </property>
  <property fmtid="{D5CDD505-2E9C-101B-9397-08002B2CF9AE}" pid="5" name="MSIP_Label_114e5b3d-cd74-4692-bcd4-6ee138f3edc7_Name">
    <vt:lpwstr>Internal</vt:lpwstr>
  </property>
  <property fmtid="{D5CDD505-2E9C-101B-9397-08002B2CF9AE}" pid="6" name="MSIP_Label_114e5b3d-cd74-4692-bcd4-6ee138f3edc7_SiteId">
    <vt:lpwstr>6e97e4e4-ed40-4c38-8b4d-283573e82080</vt:lpwstr>
  </property>
  <property fmtid="{D5CDD505-2E9C-101B-9397-08002B2CF9AE}" pid="7" name="MSIP_Label_114e5b3d-cd74-4692-bcd4-6ee138f3edc7_ActionId">
    <vt:lpwstr>e1f1314e-d053-4d85-876e-99d8d435f5d0</vt:lpwstr>
  </property>
  <property fmtid="{D5CDD505-2E9C-101B-9397-08002B2CF9AE}" pid="8" name="MSIP_Label_114e5b3d-cd74-4692-bcd4-6ee138f3edc7_ContentBits">
    <vt:lpwstr>0</vt:lpwstr>
  </property>
  <property fmtid="{D5CDD505-2E9C-101B-9397-08002B2CF9AE}" pid="9" name="ContentTypeId">
    <vt:lpwstr>0x0101009CF929E8D8F9C248A67BA6C62E2A0AB5</vt:lpwstr>
  </property>
</Properties>
</file>