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sz w:val="30"/>
          <w:szCs w:val="30"/>
          <w:rtl w:val="0"/>
        </w:rPr>
        <w:t xml:space="preserve">Enhancing Collection Scoring Model during Turbulent Economic Environment by deriving Proxy Repayment Target using Promise-to-Pay Signal </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ABSTRACT</w:t>
      </w:r>
    </w:p>
    <w:p w:rsidR="00000000" w:rsidDel="00000000" w:rsidP="00000000" w:rsidRDefault="00000000" w:rsidRPr="00000000" w14:paraId="00000006">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BACKGROUND</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turbulent economic environment, where it impacts in varying degrees of distress in financial capability, it is important to the Collection team to capture this change. Consequently, it is critical that we extract beneficial signals from our data to understand and extrapolate risk behaviors. Such signals can indicate impending stress or opportunity for Repayment growth, and optimize collection strategy</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PROBLEM STATEMENT</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Typically, a Collection Scoring model extracts variables from borrowers’ profile and Repayment behaviors to be predictive. However, the turbulent economic environment often adds deviation from recent changes on historically stable borrowers, making the model less predictive.</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Several dimensions of data to revive the model are looking out for macro-economic data, obtaining alternative digital data sources, etc. Unfortunately, this conventional approach takes time and effort, delaying a deployment and losing opportunity to minimize loss earlier.</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METHOD #1</w:t>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use past Promise-to-Pay (PTP) data that borrowers’ responded to in the Collection journey as it summarizes reasons for their change in Repayment capability. The Collection Scoring model can incorporate 1 additional variable yet containing the same amount of knowledge if it were to use a conventional approach.</w:t>
      </w:r>
      <w:r w:rsidDel="00000000" w:rsidR="00000000" w:rsidRPr="00000000">
        <w:rPr>
          <w:rFonts w:ascii="Calibri" w:cs="Calibri" w:eastAsia="Calibri" w:hAnsi="Calibri"/>
          <w:sz w:val="24"/>
          <w:szCs w:val="24"/>
          <w:rtl w:val="0"/>
        </w:rPr>
        <w:t xml:space="preserve"> However, not every borrower was contacted and given PTP. This may affect unequal accuracy due to missing PTP data between cohorts.</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METHOD #2</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PTP Proxy model uses borrowers’ profile and historical Repayments against PTP results of Yes / No to infer PTP response onto new borrowers, allowing equal state of data to be scored in the Collection Scoring model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RESULT</w:t>
      </w:r>
    </w:p>
    <w:p w:rsidR="00000000" w:rsidDel="00000000" w:rsidP="00000000" w:rsidRDefault="00000000" w:rsidRPr="00000000" w14:paraId="0000001D">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Successful criteria of this </w:t>
      </w:r>
      <w:r w:rsidDel="00000000" w:rsidR="00000000" w:rsidRPr="00000000">
        <w:rPr>
          <w:rFonts w:ascii="Calibri" w:cs="Calibri" w:eastAsia="Calibri" w:hAnsi="Calibri"/>
          <w:sz w:val="24"/>
          <w:szCs w:val="24"/>
          <w:rtl w:val="0"/>
        </w:rPr>
        <w:t xml:space="preserve">solutio</w:t>
      </w:r>
      <w:r w:rsidDel="00000000" w:rsidR="00000000" w:rsidRPr="00000000">
        <w:rPr>
          <w:rFonts w:ascii="Calibri" w:cs="Calibri" w:eastAsia="Calibri" w:hAnsi="Calibri"/>
          <w:sz w:val="24"/>
          <w:szCs w:val="24"/>
          <w:rtl w:val="0"/>
        </w:rPr>
        <w:t xml:space="preserve">n contains 2 stages. The PTP Proxy model achieves 82% accuracy in predicting new borrowers’ PTP likelihood. Next, using PTP likelihood, the improved Collection Scoring model achieves 15% increment in AUC, with the True Positive Rate (Precision) that ensures Predicted-Repay class accuracy, exhibiting 20% absolute increment accuracy. Predicted Repay class is an important metric that minimizes misclassification of Collection calls that are predicted to Repay but ended up otherwise.</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KEY TAKEAWAY</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adding a new dimension into the Collection Scoring model, a Promise-to-Pay (PTP) Proxy Signal turns past contact results into a beneficial variable that improves Repayment growth. Additionally, the solution also confidently infer PTP Signal of new borrowers who never had past PTP contact, making them scorable in the Collection Scoring model on a fair basis to those who had.</w:t>
      </w:r>
      <w:r w:rsidDel="00000000" w:rsidR="00000000" w:rsidRPr="00000000">
        <w:rPr>
          <w:rFonts w:ascii="Calibri" w:cs="Calibri" w:eastAsia="Calibri" w:hAnsi="Calibri"/>
          <w:sz w:val="24"/>
          <w:szCs w:val="24"/>
          <w:rtl w:val="0"/>
        </w:rPr>
        <w:t xml:space="preserv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E2D49-80DA-4825-81AF-49E69F1F37F3}"/>
</file>

<file path=customXml/itemProps2.xml><?xml version="1.0" encoding="utf-8"?>
<ds:datastoreItem xmlns:ds="http://schemas.openxmlformats.org/officeDocument/2006/customXml" ds:itemID="{22CDDF61-7CA5-40F5-8896-84743A4AC80A}"/>
</file>

<file path=customXml/itemProps3.xml><?xml version="1.0" encoding="utf-8"?>
<ds:datastoreItem xmlns:ds="http://schemas.openxmlformats.org/officeDocument/2006/customXml" ds:itemID="{F1E2325E-0D15-44DE-9755-5142445240C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